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ans-serif" w:hAnsi="Times New Roman;sans-serif"/>
          <w:b/>
          <w:color w:val="000000"/>
          <w:sz w:val="26"/>
        </w:rPr>
      </w:pPr>
      <w:r>
        <w:rPr>
          <w:rFonts w:ascii="Times New Roman;sans-serif" w:hAnsi="Times New Roman;sans-serif"/>
          <w:b/>
          <w:color w:val="000000"/>
          <w:sz w:val="26"/>
        </w:rPr>
        <w:t>UNITED STATES 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60" w:after="283"/>
        <w:jc w:val="center"/>
        <w:rPr>
          <w:rFonts w:ascii="Times New Roman;sans-serif" w:hAnsi="Times New Roman;sans-serif"/>
          <w:b/>
          <w:color w:val="000000"/>
          <w:sz w:val="8"/>
        </w:rPr>
      </w:pPr>
      <w:r>
        <w:rPr>
          <w:rFonts w:ascii="Times New Roman;sans-serif" w:hAnsi="Times New Roman;sans-serif"/>
          <w:b/>
          <w:color w:val="000000"/>
          <w:sz w:val="8"/>
        </w:rPr>
        <w:t>_______________________________</w:t>
      </w:r>
    </w:p>
    <w:p>
      <w:pPr>
        <w:pStyle w:val="TextBody"/>
        <w:bidi w:val="0"/>
        <w:spacing w:lineRule="auto" w:line="288" w:before="60" w:after="283"/>
        <w:jc w:val="center"/>
        <w:rPr>
          <w:rFonts w:ascii="Times New Roman;sans-serif" w:hAnsi="Times New Roman;sans-serif"/>
          <w:b/>
          <w:color w:val="000000"/>
          <w:sz w:val="26"/>
        </w:rPr>
      </w:pPr>
      <w:r>
        <w:rPr>
          <w:rFonts w:ascii="Times New Roman;sans-serif" w:hAnsi="Times New Roman;sans-serif"/>
          <w:b/>
          <w:color w:val="000000"/>
          <w:sz w:val="26"/>
        </w:rPr>
        <w:t xml:space="preserve">FORM 10-K </w:t>
      </w:r>
    </w:p>
    <w:tbl>
      <w:tblPr>
        <w:tblW w:w="9023" w:type="dxa"/>
        <w:jc w:val="center"/>
        <w:tblInd w:w="0" w:type="dxa"/>
        <w:tblLayout w:type="fixed"/>
        <w:tblCellMar>
          <w:top w:w="28" w:type="dxa"/>
          <w:left w:w="28" w:type="dxa"/>
          <w:bottom w:w="28" w:type="dxa"/>
          <w:right w:w="28" w:type="dxa"/>
        </w:tblCellMar>
      </w:tblPr>
      <w:tblGrid>
        <w:gridCol w:w="124"/>
        <w:gridCol w:w="109"/>
        <w:gridCol w:w="109"/>
        <w:gridCol w:w="1349"/>
        <w:gridCol w:w="1349"/>
        <w:gridCol w:w="1349"/>
        <w:gridCol w:w="1349"/>
        <w:gridCol w:w="1349"/>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1" w:type="dxa"/>
            <w:gridSpan w:val="6"/>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tcMar>
              <w:top w:w="0" w:type="dxa"/>
              <w:left w:w="0" w:type="dxa"/>
              <w:bottom w:w="0" w:type="dxa"/>
              <w:right w:w="0" w:type="dxa"/>
            </w:tcMar>
            <w:vAlign w:val="center"/>
          </w:tcPr>
          <w:p>
            <w:pPr>
              <w:pStyle w:val="TableContents"/>
              <w:bidi w:val="0"/>
              <w:spacing w:lineRule="auto" w:line="240" w:before="60" w:after="283"/>
              <w:jc w:val="right"/>
              <w:rPr>
                <w:rFonts w:ascii="Times New Roman;sans-serif" w:hAnsi="Times New Roman;sans-serif"/>
                <w:b/>
                <w:color w:val="000000"/>
                <w:sz w:val="16"/>
              </w:rPr>
            </w:pPr>
            <w:r>
              <w:rPr>
                <w:rFonts w:ascii="Times New Roman;sans-serif" w:hAnsi="Times New Roman;sans-serif"/>
                <w:b/>
                <w:color w:val="000000"/>
                <w:sz w:val="16"/>
              </w:rPr>
              <w:t>For the fiscal year ended</w:t>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9023" w:type="dxa"/>
            <w:gridSpan w:val="9"/>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1"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ans-serif" w:hAnsi="Times New Roman;sans-serif"/>
                <w:b/>
                <w:color w:val="000000"/>
                <w:sz w:val="16"/>
              </w:rPr>
              <w:t>TRANSITION REPORT PURSUANT TO SECTION 13 OR 15(d) OF THE SECURITIES EXCHANGE</w:t>
            </w:r>
            <w:r>
              <w:rPr>
                <w:color w:val="000000"/>
              </w:rPr>
              <w:t xml:space="preserve"> </w:t>
            </w:r>
            <w:r>
              <w:rPr>
                <w:rFonts w:ascii="Times New Roman;sans-serif" w:hAnsi="Times New Roman;sans-serif"/>
                <w:b/>
                <w:color w:val="000000"/>
                <w:sz w:val="16"/>
              </w:rPr>
              <w:t>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tcMar>
              <w:top w:w="0" w:type="dxa"/>
              <w:left w:w="0" w:type="dxa"/>
              <w:bottom w:w="0" w:type="dxa"/>
              <w:right w:w="0" w:type="dxa"/>
            </w:tcMar>
            <w:vAlign w:val="center"/>
          </w:tcPr>
          <w:p>
            <w:pPr>
              <w:pStyle w:val="TableContents"/>
              <w:bidi w:val="0"/>
              <w:spacing w:lineRule="auto" w:line="240" w:before="60" w:after="283"/>
              <w:jc w:val="right"/>
              <w:rPr>
                <w:rFonts w:ascii="Times New Roman;sans-serif" w:hAnsi="Times New Roman;sans-serif"/>
                <w:b/>
                <w:color w:val="000000"/>
                <w:sz w:val="16"/>
              </w:rPr>
            </w:pPr>
            <w:r>
              <w:rPr>
                <w:rFonts w:ascii="Times New Roman;sans-serif" w:hAnsi="Times New Roman;sans-serif"/>
                <w:b/>
                <w:color w:val="000000"/>
                <w:sz w:val="16"/>
              </w:rPr>
              <w:t xml:space="preserve">For the transition period </w:t>
            </w:r>
          </w:p>
        </w:tc>
        <w:tc>
          <w:tcPr>
            <w:tcW w:w="4634"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 </w:t>
            </w:r>
            <w:r>
              <w:rPr>
                <w:rFonts w:ascii="Times New Roman;sans-serif" w:hAnsi="Times New Roman;sans-serif"/>
                <w:b/>
                <w:color w:val="000000"/>
                <w:sz w:val="16"/>
              </w:rPr>
              <w:t>from ________ to ________</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001-38855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60" w:after="283"/>
        <w:jc w:val="center"/>
        <w:rPr/>
      </w:pPr>
      <w:r>
        <w:rPr>
          <w:rFonts w:ascii="Times New Roman;sans-serif" w:hAnsi="Times New Roman;sans-serif"/>
          <w:b/>
          <w:color w:val="000000"/>
          <w:sz w:val="26"/>
        </w:rPr>
        <w:t>Nasdaq, Inc.</w:t>
      </w:r>
      <w:r>
        <w:rPr>
          <w:color w:val="000000"/>
        </w:rPr>
        <w:t xml:space="preserve">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7437"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424"/>
        <w:gridCol w:w="424"/>
        <w:gridCol w:w="424"/>
        <w:gridCol w:w="424"/>
        <w:gridCol w:w="424"/>
        <w:gridCol w:w="624"/>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7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52-1165937</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tbl>
      <w:tblPr>
        <w:tblW w:w="4226" w:type="dxa"/>
        <w:jc w:val="center"/>
        <w:tblInd w:w="0" w:type="dxa"/>
        <w:tblLayout w:type="fixed"/>
        <w:tblCellMar>
          <w:top w:w="28" w:type="dxa"/>
          <w:left w:w="28" w:type="dxa"/>
          <w:bottom w:w="28" w:type="dxa"/>
          <w:right w:w="28" w:type="dxa"/>
        </w:tblCellMar>
      </w:tblPr>
      <w:tblGrid>
        <w:gridCol w:w="569"/>
        <w:gridCol w:w="501"/>
        <w:gridCol w:w="504"/>
        <w:gridCol w:w="294"/>
        <w:gridCol w:w="294"/>
        <w:gridCol w:w="296"/>
        <w:gridCol w:w="279"/>
        <w:gridCol w:w="279"/>
        <w:gridCol w:w="281"/>
        <w:gridCol w:w="272"/>
        <w:gridCol w:w="272"/>
        <w:gridCol w:w="385"/>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151 W. 42nd Street,</w:t>
            </w:r>
          </w:p>
        </w:tc>
        <w:tc>
          <w:tcPr>
            <w:tcW w:w="8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New York,</w:t>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New York</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10036</w:t>
            </w:r>
          </w:p>
        </w:tc>
      </w:tr>
      <w:tr>
        <w:trPr/>
        <w:tc>
          <w:tcPr>
            <w:tcW w:w="3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+1 212 401 8700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483" w:type="dxa"/>
        <w:jc w:val="left"/>
        <w:tblInd w:w="0" w:type="dxa"/>
        <w:tblLayout w:type="fixed"/>
        <w:tblCellMar>
          <w:top w:w="28" w:type="dxa"/>
          <w:left w:w="28" w:type="dxa"/>
          <w:bottom w:w="28" w:type="dxa"/>
          <w:right w:w="28" w:type="dxa"/>
        </w:tblCellMar>
      </w:tblPr>
      <w:tblGrid>
        <w:gridCol w:w="1153"/>
        <w:gridCol w:w="1006"/>
        <w:gridCol w:w="1021"/>
        <w:gridCol w:w="109"/>
        <w:gridCol w:w="109"/>
        <w:gridCol w:w="109"/>
        <w:gridCol w:w="474"/>
        <w:gridCol w:w="474"/>
        <w:gridCol w:w="476"/>
        <w:gridCol w:w="109"/>
        <w:gridCol w:w="109"/>
        <w:gridCol w:w="109"/>
        <w:gridCol w:w="945"/>
        <w:gridCol w:w="945"/>
        <w:gridCol w:w="1335"/>
      </w:tblGrid>
      <w:tr>
        <w:trPr/>
        <w:tc>
          <w:tcPr>
            <w:tcW w:w="115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NDAQ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4.500%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NDAQ32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0.900% Senior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NDAQ33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0.875%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NDAQ30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1.75%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NDAQ29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w:t>
            </w:r>
          </w:p>
        </w:tc>
      </w:tr>
    </w:tbl>
    <w:p>
      <w:pPr>
        <w:pStyle w:val="TextBody"/>
        <w:bidi w:val="0"/>
        <w:spacing w:lineRule="auto" w:line="288" w:before="60" w:after="283"/>
        <w:ind w:left="0" w:right="0" w:firstLine="72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12(g) of the Act: None</w:t>
      </w:r>
    </w:p>
    <w:p>
      <w:pPr>
        <w:pStyle w:val="TextBody"/>
        <w:bidi w:val="0"/>
        <w:spacing w:lineRule="auto" w:line="288" w:before="0" w:after="0"/>
        <w:ind w:left="0" w:right="0" w:firstLine="720"/>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20" w:after="283"/>
        <w:ind w:left="0" w:right="0" w:firstLine="720"/>
        <w:jc w:val="left"/>
        <w:rPr/>
      </w:pPr>
      <w:r>
        <w:rPr>
          <w:rFonts w:ascii="Times New Roman;sans-serif" w:hAnsi="Times New Roman;sans-serif"/>
          <w:b w:val="false"/>
          <w:color w:val="000000"/>
          <w:sz w:val="16"/>
        </w:rPr>
        <w:t xml:space="preserve">Indicate by check mark if the registrant is not required to file reports pursuant to Section 13 or Section 15(d) of the Exchange Act. Yes </w:t>
      </w:r>
      <w:r>
        <w:rPr>
          <w:color w:val="000000"/>
        </w:rPr>
        <w:t xml:space="preserve">☐ </w:t>
      </w:r>
      <w:r>
        <w:rPr>
          <w:rFonts w:ascii="Times New Roman;sans-serif" w:hAnsi="Times New Roman;sans-serif"/>
          <w:b w:val="false"/>
          <w:color w:val="000000"/>
          <w:sz w:val="16"/>
        </w:rPr>
        <w:t xml:space="preserve">No </w:t>
      </w:r>
      <w:r>
        <w:rPr>
          <w:color w:val="000000"/>
        </w:rPr>
        <w:t xml:space="preserve">☒ </w:t>
      </w:r>
    </w:p>
    <w:p>
      <w:pPr>
        <w:pStyle w:val="TextBody"/>
        <w:bidi w:val="0"/>
        <w:spacing w:lineRule="auto" w:line="288" w:before="120" w:after="283"/>
        <w:ind w:left="0" w:right="0" w:firstLine="72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20" w:after="283"/>
        <w:ind w:left="0" w:right="0" w:firstLine="72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50"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3"/>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72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0"/>
        <w:ind w:left="0" w:right="0" w:firstLine="720"/>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0"/>
        <w:ind w:left="0" w:right="0" w:firstLine="72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0"/>
        <w:ind w:left="0" w:right="0" w:firstLine="720"/>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 xml:space="preserve">No   </w:t>
      </w: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As of June 30, 2024, the aggregate market value of the registrant’s common stock held by non-affiliates of the registrant was approximately $22.3 billion (this amount represents approximately 370.0 million shares of Nasdaq, Inc.’s common stock based on the last reported sales price of $60.26 of the common stock on The Nasdaq Stock Market on such date).</w:t>
      </w:r>
    </w:p>
    <w:p>
      <w:pPr>
        <w:pStyle w:val="TextBody"/>
        <w:bidi w:val="0"/>
        <w:spacing w:lineRule="auto" w:line="288" w:before="0" w:after="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registrant's classes of common stock, as of the latest practicable date.</w:t>
      </w:r>
    </w:p>
    <w:tbl>
      <w:tblPr>
        <w:tblW w:w="6267" w:type="dxa"/>
        <w:jc w:val="left"/>
        <w:tblInd w:w="0" w:type="dxa"/>
        <w:tblLayout w:type="fixed"/>
        <w:tblCellMar>
          <w:top w:w="28" w:type="dxa"/>
          <w:left w:w="28" w:type="dxa"/>
          <w:bottom w:w="28" w:type="dxa"/>
          <w:right w:w="28" w:type="dxa"/>
        </w:tblCellMar>
      </w:tblPr>
      <w:tblGrid>
        <w:gridCol w:w="1102"/>
        <w:gridCol w:w="975"/>
        <w:gridCol w:w="983"/>
        <w:gridCol w:w="109"/>
        <w:gridCol w:w="109"/>
        <w:gridCol w:w="109"/>
        <w:gridCol w:w="525"/>
        <w:gridCol w:w="526"/>
        <w:gridCol w:w="411"/>
        <w:gridCol w:w="411"/>
        <w:gridCol w:w="411"/>
        <w:gridCol w:w="596"/>
      </w:tblGrid>
      <w:tr>
        <w:trPr/>
        <w:tc>
          <w:tcPr>
            <w:tcW w:w="110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Outstanding at February 12, 2025</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575,145,323 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w:t>
            </w:r>
          </w:p>
        </w:tc>
      </w:tr>
    </w:tbl>
    <w:tbl>
      <w:tblPr>
        <w:tblW w:w="10205" w:type="dxa"/>
        <w:jc w:val="left"/>
        <w:tblInd w:w="0" w:type="dxa"/>
        <w:tblLayout w:type="fixed"/>
        <w:tblCellMar>
          <w:top w:w="28" w:type="dxa"/>
          <w:left w:w="28" w:type="dxa"/>
          <w:bottom w:w="28" w:type="dxa"/>
          <w:right w:w="28" w:type="dxa"/>
        </w:tblCellMar>
      </w:tblPr>
      <w:tblGrid>
        <w:gridCol w:w="1771"/>
        <w:gridCol w:w="1550"/>
        <w:gridCol w:w="1550"/>
        <w:gridCol w:w="1550"/>
        <w:gridCol w:w="1550"/>
        <w:gridCol w:w="2234"/>
      </w:tblGrid>
      <w:tr>
        <w:trPr/>
        <w:tc>
          <w:tcPr>
            <w:tcW w:w="177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 Certain portions of the Definitive Proxy Statement for the 2025 Annual Meeting of Shareholders are incorporated by reference into Part III of this Form 10-K.</w:t>
            </w:r>
          </w:p>
        </w:tc>
      </w:tr>
      <w:tr>
        <w:trPr/>
        <w:tc>
          <w:tcPr>
            <w:tcW w:w="10205" w:type="dxa"/>
            <w:gridSpan w:val="6"/>
            <w:tcBorders>
              <w:bottom w:val="double" w:sz="8" w:space="0" w:color="000000"/>
            </w:tcBorders>
            <w:tcMar>
              <w:top w:w="0" w:type="dxa"/>
              <w:left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3"/>
        <w:gridCol w:w="258"/>
        <w:gridCol w:w="260"/>
        <w:gridCol w:w="2925"/>
        <w:gridCol w:w="2910"/>
        <w:gridCol w:w="2926"/>
        <w:gridCol w:w="184"/>
        <w:gridCol w:w="184"/>
        <w:gridCol w:w="26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Page</w:t>
            </w:r>
            <w:r>
              <w:rPr>
                <w:color w:val="000000"/>
              </w:rPr>
              <w:t>  </w:t>
            </w:r>
          </w:p>
        </w:tc>
      </w:tr>
      <w:tr>
        <w:trPr/>
        <w:tc>
          <w:tcPr>
            <w:tcW w:w="957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448">
              <w:r>
                <w:rPr>
                  <w:rStyle w:val="InternetLink"/>
                  <w:rFonts w:ascii="Times New Roman;sans-serif" w:hAnsi="Times New Roman;sans-serif"/>
                  <w:b/>
                  <w:strike w:val="false"/>
                  <w:dstrike w:val="false"/>
                  <w:color w:val="000000"/>
                  <w:sz w:val="20"/>
                  <w:u w:val="none"/>
                  <w:effect w:val="none"/>
                </w:rPr>
                <w:t>Part I.</w:t>
              </w:r>
            </w:hyperlink>
            <w:r>
              <w:rPr>
                <w:rFonts w:ascii="Times New Roman;sans-serif" w:hAnsi="Times New Roman;sans-serif"/>
                <w:b/>
                <w:color w:val="000000"/>
                <w:sz w:val="20"/>
              </w:rPr>
              <w:t xml:space="preserve"> </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80">
              <w:r>
                <w:rPr>
                  <w:rStyle w:val="InternetLink"/>
                  <w:rFonts w:ascii="Times New Roman;sans-serif" w:hAnsi="Times New Roman;sans-serif"/>
                  <w:b w:val="false"/>
                  <w:color w:val="0000FF"/>
                  <w:sz w:val="20"/>
                  <w:u w:val="single"/>
                </w:rPr>
                <w:t>Business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80">
              <w:r>
                <w:rPr>
                  <w:rStyle w:val="InternetLink"/>
                  <w:rFonts w:ascii="Times New Roman;sans-serif" w:hAnsi="Times New Roman;sans-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397">
              <w:r>
                <w:rPr>
                  <w:rStyle w:val="InternetLink"/>
                  <w:rFonts w:ascii="Times New Roman;sans-serif" w:hAnsi="Times New Roman;sans-serif"/>
                  <w:b w:val="false"/>
                  <w:color w:val="0000FF"/>
                  <w:sz w:val="20"/>
                  <w:u w:val="single"/>
                </w:rPr>
                <w:t>Risk Factors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397">
              <w:r>
                <w:rPr>
                  <w:rStyle w:val="InternetLink"/>
                  <w:rFonts w:ascii="Times New Roman;sans-serif" w:hAnsi="Times New Roman;sans-serif"/>
                  <w:b w:val="false"/>
                  <w:color w:val="0000FF"/>
                  <w:sz w:val="20"/>
                  <w:u w:val="single"/>
                </w:rPr>
                <w:t>17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415">
              <w:r>
                <w:rPr>
                  <w:rStyle w:val="InternetLink"/>
                  <w:rFonts w:ascii="Times New Roman;sans-serif" w:hAnsi="Times New Roman;sans-serif"/>
                  <w:b w:val="false"/>
                  <w:color w:val="0000FF"/>
                  <w:sz w:val="20"/>
                  <w:u w:val="single"/>
                </w:rPr>
                <w:t>Unresolved Staff Comments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415">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418">
              <w:r>
                <w:rPr>
                  <w:rStyle w:val="InternetLink"/>
                  <w:rFonts w:ascii="Times New Roman;sans-serif" w:hAnsi="Times New Roman;sans-serif"/>
                  <w:b w:val="false"/>
                  <w:color w:val="0000FF"/>
                  <w:sz w:val="20"/>
                  <w:u w:val="single"/>
                </w:rPr>
                <w:t>Cybersecurity</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418">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421">
              <w:r>
                <w:rPr>
                  <w:rStyle w:val="InternetLink"/>
                  <w:rFonts w:ascii="Times New Roman;sans-serif" w:hAnsi="Times New Roman;sans-serif"/>
                  <w:b w:val="false"/>
                  <w:color w:val="0000FF"/>
                  <w:sz w:val="20"/>
                  <w:u w:val="single"/>
                </w:rPr>
                <w:t>Properties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421">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178">
              <w:r>
                <w:rPr>
                  <w:rStyle w:val="InternetLink"/>
                  <w:rFonts w:ascii="Times New Roman;sans-serif" w:hAnsi="Times New Roman;sans-serif"/>
                  <w:b w:val="false"/>
                  <w:color w:val="0000FF"/>
                  <w:sz w:val="20"/>
                  <w:u w:val="single"/>
                </w:rPr>
                <w:t>Legal Proceedings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178">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190">
              <w:r>
                <w:rPr>
                  <w:rStyle w:val="InternetLink"/>
                  <w:rFonts w:ascii="Times New Roman;sans-serif" w:hAnsi="Times New Roman;sans-serif"/>
                  <w:b w:val="false"/>
                  <w:color w:val="0000FF"/>
                  <w:sz w:val="20"/>
                  <w:u w:val="single"/>
                </w:rPr>
                <w:t>Mine Safety Disclosures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190">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08">
              <w:r>
                <w:rPr>
                  <w:rStyle w:val="InternetLink"/>
                  <w:rFonts w:ascii="Times New Roman;sans-serif" w:hAnsi="Times New Roman;sans-serif"/>
                  <w:b/>
                  <w:strike w:val="false"/>
                  <w:dstrike w:val="false"/>
                  <w:color w:val="000000"/>
                  <w:sz w:val="20"/>
                  <w:u w:val="none"/>
                  <w:effect w:val="none"/>
                </w:rPr>
                <w:t xml:space="preserve">Part II. </w:t>
              </w:r>
            </w:hyperlink>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184">
              <w:r>
                <w:rPr>
                  <w:rStyle w:val="InternetLink"/>
                  <w:rFonts w:ascii="Times New Roman;sans-serif" w:hAnsi="Times New Roman;sans-serif"/>
                  <w:b w:val="false"/>
                  <w:color w:val="0000FF"/>
                  <w:sz w:val="20"/>
                  <w:u w:val="single"/>
                </w:rPr>
                <w:t>Market for Registrant</w:t>
              </w:r>
            </w:hyperlink>
            <w:r>
              <w:rPr>
                <w:color w:val="0E32E1"/>
                <w:u w:val="single"/>
              </w:rPr>
              <w:t>’</w:t>
            </w:r>
            <w:hyperlink w:anchor="i8e8d97d7ae354e66abae402b1874eeb3_184">
              <w:r>
                <w:rPr>
                  <w:rStyle w:val="InternetLink"/>
                  <w:rFonts w:ascii="Times New Roman;sans-serif" w:hAnsi="Times New Roman;sans-serif"/>
                  <w:b w:val="false"/>
                  <w:color w:val="0000FF"/>
                  <w:sz w:val="20"/>
                  <w:u w:val="single"/>
                </w:rPr>
                <w:t>s Common Equity, Related Stockholder Matters and Issuer Purchases of Equity Securities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184">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20">
              <w:r>
                <w:rPr>
                  <w:rStyle w:val="InternetLink"/>
                  <w:rFonts w:ascii="Times New Roman;sans-serif" w:hAnsi="Times New Roman;sans-serif"/>
                  <w:b w:val="false"/>
                  <w:color w:val="0000FF"/>
                  <w:sz w:val="20"/>
                  <w:u w:val="single"/>
                </w:rPr>
                <w:t>[Reserved]</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20">
              <w:r>
                <w:rPr>
                  <w:rStyle w:val="InternetLink"/>
                  <w:rFonts w:ascii="Times New Roman;sans-serif" w:hAnsi="Times New Roman;sans-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103">
              <w:r>
                <w:rPr>
                  <w:rStyle w:val="InternetLink"/>
                  <w:rFonts w:ascii="Times New Roman;sans-serif" w:hAnsi="Times New Roman;sans-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23">
              <w:r>
                <w:rPr>
                  <w:rStyle w:val="InternetLink"/>
                  <w:rFonts w:ascii="Times New Roman;sans-serif" w:hAnsi="Times New Roman;sans-serif"/>
                  <w:b w:val="false"/>
                  <w:color w:val="0000FF"/>
                  <w:sz w:val="20"/>
                  <w:u w:val="single"/>
                </w:rPr>
                <w:t>Quantitative and Qualitative Disclosures About Market Risk</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23">
              <w:r>
                <w:rPr>
                  <w:rStyle w:val="InternetLink"/>
                  <w:rFonts w:ascii="Times New Roman;sans-serif" w:hAnsi="Times New Roman;sans-serif"/>
                  <w:b w:val="false"/>
                  <w:color w:val="0000FF"/>
                  <w:sz w:val="20"/>
                  <w:u w:val="single"/>
                </w:rPr>
                <w:t>57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26">
              <w:r>
                <w:rPr>
                  <w:rStyle w:val="InternetLink"/>
                  <w:rFonts w:ascii="Times New Roman;sans-serif" w:hAnsi="Times New Roman;sans-serif"/>
                  <w:b w:val="false"/>
                  <w:color w:val="0000FF"/>
                  <w:sz w:val="20"/>
                  <w:u w:val="single"/>
                </w:rPr>
                <w:t>Financial Statements and Supplementary Data</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26">
              <w:r>
                <w:rPr>
                  <w:rStyle w:val="InternetLink"/>
                  <w:rFonts w:ascii="Times New Roman;sans-serif" w:hAnsi="Times New Roman;sans-serif"/>
                  <w:b w:val="false"/>
                  <w:color w:val="0000FF"/>
                  <w:sz w:val="20"/>
                  <w:u w:val="single"/>
                </w:rPr>
                <w:t>57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29">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29">
              <w:r>
                <w:rPr>
                  <w:rStyle w:val="InternetLink"/>
                  <w:rFonts w:ascii="Times New Roman;sans-serif" w:hAnsi="Times New Roman;sans-serif"/>
                  <w:b w:val="false"/>
                  <w:color w:val="0000FF"/>
                  <w:sz w:val="20"/>
                  <w:u w:val="single"/>
                </w:rPr>
                <w:t>57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172">
              <w:r>
                <w:rPr>
                  <w:rStyle w:val="InternetLink"/>
                  <w:rFonts w:ascii="Times New Roman;sans-serif" w:hAnsi="Times New Roman;sans-serif"/>
                  <w:b w:val="false"/>
                  <w:color w:val="0000FF"/>
                  <w:sz w:val="20"/>
                  <w:u w:val="single"/>
                </w:rPr>
                <w:t>Controls and Procedures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172">
              <w:r>
                <w:rPr>
                  <w:rStyle w:val="InternetLink"/>
                  <w:rFonts w:ascii="Times New Roman;sans-serif" w:hAnsi="Times New Roman;sans-serif"/>
                  <w:b w:val="false"/>
                  <w:color w:val="0000FF"/>
                  <w:sz w:val="20"/>
                  <w:u w:val="single"/>
                </w:rPr>
                <w:t>57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193">
              <w:r>
                <w:rPr>
                  <w:rStyle w:val="InternetLink"/>
                  <w:rFonts w:ascii="Times New Roman;sans-serif" w:hAnsi="Times New Roman;sans-serif"/>
                  <w:b w:val="false"/>
                  <w:color w:val="0000FF"/>
                  <w:sz w:val="20"/>
                  <w:u w:val="single"/>
                </w:rPr>
                <w:t>Other Information</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193">
              <w:r>
                <w:rPr>
                  <w:rStyle w:val="InternetLink"/>
                  <w:rFonts w:ascii="Times New Roman;sans-serif" w:hAnsi="Times New Roman;sans-serif"/>
                  <w:b w:val="false"/>
                  <w:color w:val="0000FF"/>
                  <w:sz w:val="20"/>
                  <w:u w:val="single"/>
                </w:rPr>
                <w:t>59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38">
              <w:r>
                <w:rPr>
                  <w:rStyle w:val="InternetLink"/>
                  <w:rFonts w:ascii="Times New Roman;sans-serif" w:hAnsi="Times New Roman;sans-serif"/>
                  <w:b w:val="false"/>
                  <w:color w:val="0000FF"/>
                  <w:sz w:val="20"/>
                  <w:u w:val="single"/>
                </w:rPr>
                <w:t>Disclosure Regarding Foreign Jurisdictions that Prevent Inspections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38">
              <w:r>
                <w:rPr>
                  <w:rStyle w:val="InternetLink"/>
                  <w:rFonts w:ascii="Times New Roman;sans-serif" w:hAnsi="Times New Roman;sans-serif"/>
                  <w:b w:val="false"/>
                  <w:color w:val="0000FF"/>
                  <w:sz w:val="20"/>
                  <w:u w:val="single"/>
                </w:rPr>
                <w:t>59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08">
              <w:r>
                <w:rPr>
                  <w:rStyle w:val="InternetLink"/>
                  <w:rFonts w:ascii="Times New Roman;sans-serif" w:hAnsi="Times New Roman;sans-serif"/>
                  <w:b/>
                  <w:strike w:val="false"/>
                  <w:dstrike w:val="false"/>
                  <w:color w:val="000000"/>
                  <w:sz w:val="20"/>
                  <w:u w:val="none"/>
                  <w:effect w:val="none"/>
                </w:rPr>
                <w:t>Part III.</w:t>
              </w:r>
            </w:hyperlink>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41">
              <w:r>
                <w:rPr>
                  <w:rStyle w:val="InternetLink"/>
                  <w:rFonts w:ascii="Times New Roman;sans-serif" w:hAnsi="Times New Roman;sans-serif"/>
                  <w:b w:val="false"/>
                  <w:color w:val="0000FF"/>
                  <w:sz w:val="20"/>
                  <w:u w:val="single"/>
                </w:rPr>
                <w:t>Directors, Executive Officers and Corporate Governance</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41">
              <w:r>
                <w:rPr>
                  <w:rStyle w:val="InternetLink"/>
                  <w:rFonts w:ascii="Times New Roman;sans-serif" w:hAnsi="Times New Roman;sans-serif"/>
                  <w:b w:val="false"/>
                  <w:color w:val="0000FF"/>
                  <w:sz w:val="20"/>
                  <w:u w:val="single"/>
                </w:rPr>
                <w:t>59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44">
              <w:r>
                <w:rPr>
                  <w:rStyle w:val="InternetLink"/>
                  <w:rFonts w:ascii="Times New Roman;sans-serif" w:hAnsi="Times New Roman;sans-serif"/>
                  <w:b w:val="false"/>
                  <w:color w:val="0000FF"/>
                  <w:sz w:val="20"/>
                  <w:u w:val="single"/>
                </w:rPr>
                <w:t>Executive Compensation</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44">
              <w:r>
                <w:rPr>
                  <w:rStyle w:val="InternetLink"/>
                  <w:rFonts w:ascii="Times New Roman;sans-serif" w:hAnsi="Times New Roman;sans-serif"/>
                  <w:b w:val="false"/>
                  <w:color w:val="0000FF"/>
                  <w:sz w:val="20"/>
                  <w:u w:val="single"/>
                </w:rPr>
                <w:t>59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47">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47">
              <w:r>
                <w:rPr>
                  <w:rStyle w:val="InternetLink"/>
                  <w:rFonts w:ascii="Times New Roman;sans-serif" w:hAnsi="Times New Roman;sans-serif"/>
                  <w:b w:val="false"/>
                  <w:color w:val="0000FF"/>
                  <w:sz w:val="20"/>
                  <w:u w:val="single"/>
                </w:rPr>
                <w:t>59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53">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53">
              <w:r>
                <w:rPr>
                  <w:rStyle w:val="InternetLink"/>
                  <w:rFonts w:ascii="Times New Roman;sans-serif" w:hAnsi="Times New Roman;sans-serif"/>
                  <w:b w:val="false"/>
                  <w:color w:val="0000FF"/>
                  <w:sz w:val="20"/>
                  <w:u w:val="single"/>
                </w:rPr>
                <w:t>60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56">
              <w:r>
                <w:rPr>
                  <w:rStyle w:val="InternetLink"/>
                  <w:rFonts w:ascii="Times New Roman;sans-serif" w:hAnsi="Times New Roman;sans-serif"/>
                  <w:b w:val="false"/>
                  <w:color w:val="0000FF"/>
                  <w:sz w:val="20"/>
                  <w:u w:val="single"/>
                </w:rPr>
                <w:t>Principal Accountant Fees and Services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56">
              <w:r>
                <w:rPr>
                  <w:rStyle w:val="InternetLink"/>
                  <w:rFonts w:ascii="Times New Roman;sans-serif" w:hAnsi="Times New Roman;sans-serif"/>
                  <w:b w:val="false"/>
                  <w:color w:val="0000FF"/>
                  <w:sz w:val="20"/>
                  <w:u w:val="single"/>
                </w:rPr>
                <w:t>60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08">
              <w:r>
                <w:rPr>
                  <w:rStyle w:val="InternetLink"/>
                  <w:rFonts w:ascii="Times New Roman;sans-serif" w:hAnsi="Times New Roman;sans-serif"/>
                  <w:b/>
                  <w:strike w:val="false"/>
                  <w:dstrike w:val="false"/>
                  <w:color w:val="000000"/>
                  <w:sz w:val="20"/>
                  <w:u w:val="none"/>
                  <w:effect w:val="none"/>
                </w:rPr>
                <w:t>Part IV.</w:t>
              </w:r>
            </w:hyperlink>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62">
              <w:r>
                <w:rPr>
                  <w:rStyle w:val="InternetLink"/>
                  <w:rFonts w:ascii="Times New Roman;sans-serif" w:hAnsi="Times New Roman;sans-serif"/>
                  <w:b w:val="false"/>
                  <w:color w:val="0000FF"/>
                  <w:sz w:val="20"/>
                  <w:u w:val="single"/>
                </w:rPr>
                <w:t>Exhibits and Financial Statement Schedules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62">
              <w:r>
                <w:rPr>
                  <w:rStyle w:val="InternetLink"/>
                  <w:rFonts w:ascii="Times New Roman;sans-serif" w:hAnsi="Times New Roman;sans-serif"/>
                  <w:b w:val="false"/>
                  <w:color w:val="0000FF"/>
                  <w:sz w:val="20"/>
                  <w:u w:val="single"/>
                </w:rPr>
                <w:t>60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65">
              <w:r>
                <w:rPr>
                  <w:rStyle w:val="InternetLink"/>
                  <w:rFonts w:ascii="Times New Roman;sans-serif" w:hAnsi="Times New Roman;sans-serif"/>
                  <w:b w:val="false"/>
                  <w:color w:val="0000FF"/>
                  <w:sz w:val="20"/>
                  <w:u w:val="single"/>
                </w:rPr>
                <w:t>Form 10-K Summary</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d97d7ae354e66abae402b1874eeb3_265">
              <w:r>
                <w:rPr>
                  <w:rStyle w:val="InternetLink"/>
                  <w:rFonts w:ascii="Times New Roman;sans-serif" w:hAnsi="Times New Roman;sans-serif"/>
                  <w:b w:val="false"/>
                  <w:color w:val="0000FF"/>
                  <w:sz w:val="20"/>
                  <w:u w:val="single"/>
                </w:rPr>
                <w:t>64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About this Form 10-K</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Form 10-K, unless otherwise specified: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“we,” “us” and “our” refer to Nasdaq, Inc.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Baltic” refers to collectively, Nasdaq Tallinn AS, Nasdaq Riga, AS, and AB Nasdaq Vilnius.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BX” refers to the cash equity exchange operated by Nasdaq BX, Inc.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BX Options” refers to the options exchange operated by Nasdaq BX, Inc.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Clearing” refers to the clearing operations conducted by Nasdaq Clearing AB.</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CXC” and “Nasdaq CX2” refer to the Canadian cash equity trading books operated by Nasdaq CXC Limited.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First North” refers to our alternative marketplaces for smaller companies and growth companies in the Nordic and Baltic regions.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GEMX” refers to the options exchange operated by Nasdaq GEMX, LLC.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ISE” refers to the options exchange operated by Nasdaq ISE, LLC.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MRX” refers to the options exchange operated by Nasdaq MRX, LLC.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Nordic” refers to collectively, Nasdaq Clearing AB, Nasdaq Stockholm AB, Nasdaq Copenhagen A/S, Nasdaq Helsinki Ltd, and Nasdaq Iceland hf.</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PHLX” refers to the options exchange operated by Nasdaq PHLX LLC.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PSX” refers to the cash equity exchange operated by Nasdaq PHLX LLC.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Nasdaq Options Market” refers to the options exchange operated by The Nasdaq Stock Market LLC.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The Nasdaq Stock Market” refers to the cash equity exchange and listing venue operated by The Nasdaq Stock Market LLC.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also provides as a tool for the reader the following list of abbreviations and acronyms that are used throughout this Annual Report on Form 10-K.</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2022 Revolving Credit Facility: $1.25 billion senior unsecured revolving credit facility, which matures on December 16, 2027</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2025 Notes: $500 million aggregate principal amount issued of 5.650% senior unsecured notes due June 28, 2025</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2026 Notes: $500 million aggregate principal amount issued of 3.850% senior unsecured notes due June 30, 2026</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2028 Notes: $1 billion aggregate principal amount issued of 5.350% senior unsecured notes due June 28, 2028</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2029 Notes: €600 million aggregate principal amount issued of 1.75% senior unsecured notes due March 28, 2029</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2030 Notes: €600 million aggregate principal amount issued of 0.875% senior unsecured notes due February 13, 2030</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2031 Notes: $650 million aggregate principal amount issued of 1.650% senior unsecured notes due January 15, 2031</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2032 Notes: €750 million aggregate principal amount issued of 4.500% senior unsecured notes due February 15, 2032</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2033 Notes: €615 million aggregate principal amount issued of 0.900% senior unsecured notes due July 30, 2033</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2034 Notes: $1.25 billion aggregate principal amount issued of 5.550% senior unsecured notes due February 15, 2034</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2040 Notes: $650 million aggregate principal amount issued of 2.500% senior unsecured notes due December 21, 2040</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2050 Notes: $500 million aggregate principal amount issued of 3.250% senior unsecured notes due April 28, 2050</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2052 Notes: $550 million aggregate principal amount issued of 3.950% senior unsecured notes due March 7, 2052</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2053 Notes: $750 million aggregate principal amount issued of 5.950% senior unsecured notes due August 15, 2053</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2063 Notes: $750 million aggregate principal amount issued of 6.100% senior unsecured notes due June 28, 2063</w:t>
      </w:r>
    </w:p>
    <w:p>
      <w:pPr>
        <w:pStyle w:val="TextBody"/>
        <w:bidi w:val="0"/>
        <w:spacing w:lineRule="auto" w:line="288" w:before="100" w:after="283"/>
        <w:jc w:val="both"/>
        <w:rPr>
          <w:rFonts w:ascii="Times New Roman;sans-serif" w:hAnsi="Times New Roman;sans-serif"/>
          <w:b w:val="false"/>
          <w:color w:val="111111"/>
          <w:sz w:val="20"/>
        </w:rPr>
      </w:pPr>
      <w:r>
        <w:rPr>
          <w:rFonts w:ascii="Times New Roman;sans-serif" w:hAnsi="Times New Roman;sans-serif"/>
          <w:b w:val="false"/>
          <w:color w:val="111111"/>
          <w:sz w:val="20"/>
        </w:rPr>
        <w:t>Adenza: Adenza Holdings, Inc.</w:t>
      </w:r>
    </w:p>
    <w:p>
      <w:pPr>
        <w:pStyle w:val="TextBody"/>
        <w:bidi w:val="0"/>
        <w:spacing w:lineRule="auto" w:line="288" w:before="100" w:after="283"/>
        <w:jc w:val="both"/>
        <w:rPr/>
      </w:pPr>
      <w:r>
        <w:rPr>
          <w:rFonts w:ascii="Times New Roman;sans-serif" w:hAnsi="Times New Roman;sans-serif"/>
          <w:b w:val="false"/>
          <w:color w:val="111111"/>
          <w:sz w:val="20"/>
        </w:rPr>
        <w:t>AI: Artificial Intelligenc</w:t>
      </w:r>
      <w:r>
        <w:rPr>
          <w:rFonts w:ascii="Times New Roman;sans-serif" w:hAnsi="Times New Roman;sans-serif"/>
          <w:b w:val="false"/>
          <w:color w:val="111111"/>
          <w:sz w:val="22"/>
        </w:rPr>
        <w:t>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AML: Anti-money Laundering</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ARR: Annualized Recurring Revenue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ASC: Accounting Standards Codification</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ASR: Accelerated Share Repurchase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ASU: Accounting Standards Update</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ATS: Alternative Trading System</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AUM: Assets Under Management</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AWS: Amazon Web Services</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CAT: A market-wide consolidated audit trail established under an SEC approved plan by Nasdaq and other exchanges</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CCP: Central Counterparty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CFTC: U.S. Commodity Futures Trading Commission</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EBITDA: Earnings Before Interest, Taxes, Depreciation and Amortization</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EMIR: European Market Infrastructure Regulation</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Equity Plan: Nasdaq Equity Incentive Plan</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ESG: Environmental, Social and Governance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ESPP: Nasdaq Employee Stock Purchase Plan</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ETF: Exchange Traded Fund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ETP: Exchange Traded Product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 Notes: The 2029, 2030, 2032 and 2033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Exchange Act: Securities Exchange Act of 1934, as amended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 Financial Accounting Standards Board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FICC: Fixed Income and Commodities Trading and Clearing</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FINRA: Financial Industry Regulatory Authority</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GICS: Global Industry Classification Standard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IPO: Initial Public Offering</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MiFID II: Update to the Markets in Financial Instruments Directive</w:t>
      </w:r>
    </w:p>
    <w:p>
      <w:pPr>
        <w:pStyle w:val="TextBody"/>
        <w:bidi w:val="0"/>
        <w:spacing w:lineRule="auto" w:line="288" w:before="10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MiFIR: Markets in Financial Instruments Regulation</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NPM: Nasdaq Private Market, LLC</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NSCC: National Securities Clearing Corporation</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OCC: The Options Clearing Corporation</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OTC: Over-the-Counter</w:t>
      </w:r>
    </w:p>
    <w:p>
      <w:pPr>
        <w:pStyle w:val="TextBody"/>
        <w:bidi w:val="0"/>
        <w:spacing w:lineRule="auto" w:line="288" w:before="100" w:after="283"/>
        <w:ind w:left="0" w:right="0" w:hanging="180"/>
        <w:jc w:val="both"/>
        <w:rPr/>
      </w:pPr>
      <w:r>
        <w:rPr>
          <w:rFonts w:ascii="Times New Roman;sans-serif" w:hAnsi="Times New Roman;sans-serif"/>
          <w:b w:val="false"/>
          <w:color w:val="000000"/>
          <w:sz w:val="20"/>
        </w:rPr>
        <w:t>PCS: P</w:t>
      </w:r>
      <w:r>
        <w:rPr>
          <w:rFonts w:ascii="Times New Roman;sans-serif" w:hAnsi="Times New Roman;sans-serif"/>
          <w:b w:val="false"/>
          <w:color w:val="231F20"/>
          <w:sz w:val="20"/>
        </w:rPr>
        <w:t>ost-contract Customer Support</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Proxy Statement: Nasdaq’s Definitive Proxy Statement for the 2025 Annual Meeting of Shareholders</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PSU: Performance Share Unit</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Regulation NMS: Regulation National Market System</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Regulation SCI: Regulation Systems Compliance and Integrity</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SaaS: Software as a Service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 U.S. Securities and Exchange Commission</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SERP: Supplemental Executive Retirement Plan</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SFSA: Swedish Financial Supervisory Authority</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SOFR: Secured Overnight Financing Rate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SPAC: Special Purpose Acquisition Company</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S&amp;P: Standard &amp; Poor's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S&amp;P 500: S&amp;P 500 Stock Index</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SRO: Self-regulatory Organization</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SSMA: Swedish Securities Markets Act 2007:528</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TSR: Total Shareholder Return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GAAP: U.S. Generally Accepted Accounting Principles</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U.S. Tape plans: U.S. cash equity and U.S. options industry data</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UTP: Unlisted Trading Privileges</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UTP Plan: Joint SRO Plan Governing the Collection, Consolidation, and Dissemination of Quotation and Transaction Information for Nasdaq-Listed Securities Traded on Exchanges on a UTP Basis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NASDAQ, the NASDAQ logos, and other brand, service or product names or marks referred to in this report are trademarks or service marks, registered or otherwise, of Nasdaq, Inc. and/or its subsidiaries. FINRA and Trade Reporting Facility are registered trademarks of FINRA.</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Annual Report on Form 10-K for IPOs and new listings of equity securities (including issuers that switched from other listings venues, closed-end funds and ETPs) is based on data generated internally by us; therefore, the data may not be comparable to other publicly-available IPO data. Data in this Annual Report on Form 10-K for IPOs and new listings of equity securities on the Nasdaq Nordic and Nasdaq Baltic exchanges and Nasdaq First North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“Part I, Item 1A. Risk Factors” section in this Annual Report on Form 10-K.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intends to use its website, ir.nasdaq.com, as a means for disclosing material non-public information and for complying with SEC Regulation FD and other disclosure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SEC encourages companies to disclose forward-looking information so that investors can better understand a company’s future prospects and make informed investment decisions. This Annual Report on Form 10-K contains these types of statements. Words such as “may,” “will,” “could,” “should,” “anticipates,”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and other future developments are intended to identify forward-looking statements. These include, among others, statements relating to:</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our strategic direction, including changes to our corporate structure;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integration of acquired businesses, including accounting decisions relating thereto;</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scope, nature or impact of acquisitions, divestitures, investments, joint ventures or other transactional activities;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effective dates for, and expected benefits of, ongoing initiatives, including transactional activities and other strategic, restructuring, technology, sustainability, de-leveraging and capital return initiatives;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our products and services;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impact of pricing changes;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tax matters;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cost and availability of liquidity and capital;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any litigation, or any regulatory or government investigation or action, to which we are or could become a party or which may affect us and any potential settlements of litigation, regulatory or governmental investigations or actions.</w:t>
      </w:r>
    </w:p>
    <w:p>
      <w:pPr>
        <w:pStyle w:val="TextBody"/>
        <w:bidi w:val="0"/>
        <w:spacing w:lineRule="auto" w:line="288" w:before="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involve risks and uncertainties. Factors that could cause actual results to differ materially from those contemplated by the forward-looking statements include, among others, the following:</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our operating results may be lower than expected;</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our ability to successfully integrate acquired businesses or divest sold businesses or assets, including the fact that any integration or transition may be more difficult, time consuming or costly than expected, and we may be unable to realize synergies from business combinations, acquisitions, divestitures or other transactional activities;</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loss of significant trading and clearing volumes or values, fees, market share, listed companies, market data customers or other customers;</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our ability to develop and grow our non-trading businesses;</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our ability to keep up with rapid technological advances, including our ability to effectively manage the development and use of AI in certain of our products and offerings, and adequately address cybersecurity risks;</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economic, political, regulatory and market conditions and fluctuations, including inflation, tariffs, interest rate and foreign currency risk inherent in U.S. and international operations, and geopolitical instability;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performance and reliability of our technology and technology of third parties on which we rely;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any significant systems failures or errors in our operational processes;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our ability to continue to generate cash and manage our indebtedness;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adverse changes that may occur in the litigation or regulatory areas, or in the securities markets generally, or increased regulatory oversight domestically or internationally.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Most of these factors are difficult to predict accurately and are generally beyond our control. You should consider the uncertainty and any risk related to forward-looking statements that we make. These risk factors are discussed under the caption “Part I. Item 1A. Risk Factors” in this Annual Report on Form 10-K. You are cautioned not to place undue reliance on these forward-looking statements, which speak only as of the date of this Annual Report on Form 10-K. You should carefully read this entire Annual Report on Form 10-K, including “Part II.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is a global technology company serving corporate clients, investment managers, banks, brokers, and exchange operators as they navigate and interact with the global capital markets and the broader financial system. We aspire to deliver world-leading platforms that improve the liquidity, transparency, and integrity of the global economy. Our diverse offering of data, analytics, software, exchange capabilities, and client-centric services enables clients to optimize and execute their business vision with confidence.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operate and provide our products and services in three business segments: Capital Access Platforms, Financial Technology and Market Services.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HISTORY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was founded in 1971 as a wholly-owned subsidiary of FINRA. Beginning in 2000, FINRA restructured and broadened ownership in Nasdaq by selling shares to FINRA members, investment companies and issuers listed on The Nasdaq Stock Market. In connection with this restructuring, FINRA fully divested its ownership of Nasdaq in 2006, and The Nasdaq Stock Market became an independent registered national securities exchange in 2007.</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2008, Nasdaq and OMX AB combined their businesses, and we changed our corporate name to The NASDAQ OMX Group, Inc. This transformational combination resulted in the expansion of our business from a U.S.-based exchange operator to a global exchange company offering technology that powers our own exchanges and markets as well as many other marketplaces around the world. We operated as the NASDAQ OMX Group until we rebranded our business as Nasdaq, Inc. in 2015.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we accelerated our transformation as a leading technology provider to the global financial system through the acquisition of Adenza and its two flagship solutions, AxiomSL and Calypso.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GROWTH STRATEGY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enable success in the evolving global financial system, we have established our purpose, vision, and value proposition together with a focused growth strategy:</w:t>
      </w:r>
    </w:p>
    <w:p>
      <w:pPr>
        <w:pStyle w:val="TextBody"/>
        <w:bidi w:val="0"/>
        <w:spacing w:lineRule="auto" w:line="288" w:before="120" w:after="283"/>
        <w:jc w:val="both"/>
        <w:rPr/>
      </w:pPr>
      <w:r>
        <w:rPr>
          <w:rFonts w:ascii="Times New Roman;sans-serif" w:hAnsi="Times New Roman;sans-serif"/>
          <w:b/>
          <w:i/>
          <w:color w:val="000000"/>
          <w:sz w:val="20"/>
        </w:rPr>
        <w:t xml:space="preserve">Our Purpose: </w:t>
      </w:r>
      <w:r>
        <w:rPr>
          <w:rFonts w:ascii="Times New Roman;sans-serif" w:hAnsi="Times New Roman;sans-serif"/>
          <w:b w:val="false"/>
          <w:color w:val="000000"/>
          <w:sz w:val="20"/>
        </w:rPr>
        <w:t>We advance economic progress for all.</w:t>
      </w:r>
    </w:p>
    <w:p>
      <w:pPr>
        <w:pStyle w:val="TextBody"/>
        <w:bidi w:val="0"/>
        <w:spacing w:lineRule="auto" w:line="288" w:before="120" w:after="283"/>
        <w:jc w:val="both"/>
        <w:rPr/>
      </w:pPr>
      <w:r>
        <w:rPr>
          <w:rFonts w:ascii="Times New Roman;sans-serif" w:hAnsi="Times New Roman;sans-serif"/>
          <w:b/>
          <w:i/>
          <w:color w:val="000000"/>
          <w:sz w:val="20"/>
        </w:rPr>
        <w:t xml:space="preserve">Our Vision: </w:t>
      </w:r>
      <w:r>
        <w:rPr>
          <w:rFonts w:ascii="Times New Roman;sans-serif" w:hAnsi="Times New Roman;sans-serif"/>
          <w:b w:val="false"/>
          <w:color w:val="000000"/>
          <w:sz w:val="20"/>
        </w:rPr>
        <w:t>We will be the trusted fabric of the world’s financial system.</w:t>
      </w:r>
    </w:p>
    <w:p>
      <w:pPr>
        <w:pStyle w:val="TextBody"/>
        <w:bidi w:val="0"/>
        <w:spacing w:lineRule="auto" w:line="288" w:before="120" w:after="283"/>
        <w:jc w:val="both"/>
        <w:rPr/>
      </w:pPr>
      <w:r>
        <w:rPr>
          <w:rFonts w:ascii="Times New Roman;sans-serif" w:hAnsi="Times New Roman;sans-serif"/>
          <w:b/>
          <w:i/>
          <w:color w:val="000000"/>
          <w:sz w:val="20"/>
        </w:rPr>
        <w:t xml:space="preserve">Our Value Proposition: </w:t>
      </w:r>
      <w:r>
        <w:rPr>
          <w:rFonts w:ascii="Times New Roman;sans-serif" w:hAnsi="Times New Roman;sans-serif"/>
          <w:b w:val="false"/>
          <w:color w:val="000000"/>
          <w:sz w:val="20"/>
        </w:rPr>
        <w:t>We deliver world-leading platforms that improve the liquidity, transparency and integrity of the global economy.</w:t>
      </w:r>
    </w:p>
    <w:p>
      <w:pPr>
        <w:pStyle w:val="TextBody"/>
        <w:bidi w:val="0"/>
        <w:spacing w:lineRule="auto" w:line="288" w:before="120" w:after="283"/>
        <w:jc w:val="both"/>
        <w:rPr/>
      </w:pPr>
      <w:r>
        <w:rPr>
          <w:rFonts w:ascii="Times New Roman;sans-serif" w:hAnsi="Times New Roman;sans-serif"/>
          <w:b/>
          <w:i/>
          <w:color w:val="000000"/>
          <w:sz w:val="20"/>
        </w:rPr>
        <w:t xml:space="preserve">Our Strategy: </w:t>
      </w:r>
      <w:r>
        <w:rPr>
          <w:rFonts w:ascii="Times New Roman;sans-serif" w:hAnsi="Times New Roman;sans-serif"/>
          <w:b w:val="false"/>
          <w:color w:val="000000"/>
          <w:sz w:val="20"/>
        </w:rPr>
        <w:t xml:space="preserve">In 2017, we implemented a new strategic direction with the aim of optimizing the deployment of resources, human capital, and financial assets towards our most promising growth opportunities. These opportunities,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which we identified as substantial and expanding opportunities, included solutions for combating financial crime, compliance solutions, marketplace technology, workflow for investment managers and asset owners as well as insight solutions. Our strengths in technology, proprietary data, analytics, and capital markets expertise, in conjunction with our broad client base and innovative brand has positioned us favorably to meet the evolving demands of our clientele and deliver in a sustainable way.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amplify our strategy, we aligned our company more closely with the evolving client needs with an aim to drive growth across our key pillars of liquidity, transparency and integrity:</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i/>
          <w:color w:val="000000"/>
          <w:sz w:val="20"/>
        </w:rPr>
        <w:t xml:space="preserve">Liquidity: </w:t>
      </w:r>
      <w:r>
        <w:rPr>
          <w:rFonts w:ascii="Times New Roman;sans-serif" w:hAnsi="Times New Roman;sans-serif"/>
          <w:b w:val="false"/>
          <w:color w:val="000000"/>
          <w:sz w:val="20"/>
        </w:rPr>
        <w:t xml:space="preserve">Within our Financial Technology and Market Services segments, we continue to modernize markets by utilizing technology to maximize the liquidity of the global economy. New technologies, including cloud, blockchain, machine learning and AI, present significant opportunities to further enhance market resiliency and scalability and make markets even more accessible. We believe that these technologies will enable more opportunities for market participants and new asset classes to be integrated across markets globally. </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i/>
          <w:color w:val="000000"/>
          <w:sz w:val="20"/>
        </w:rPr>
        <w:t>Transparency</w:t>
      </w:r>
      <w:r>
        <w:rPr>
          <w:rFonts w:ascii="Times New Roman;sans-serif" w:hAnsi="Times New Roman;sans-serif"/>
          <w:b w:val="false"/>
          <w:color w:val="000000"/>
          <w:sz w:val="20"/>
        </w:rPr>
        <w:t>: With nearly 10,000 corporate clients and 5,000 clients across the investment management ecosystem, our Capital Access Platforms segment is a trusted partner to enable the corporate and investment communities in making more informed decisions. Leveraging the insights and capabilities across our listings, advisory, data, index, and analytics teams, we believe that Capital Access Platforms segment serves as a bridge between the investor and corporate communities, focused on enhancing the client experience by providing efficient routes to capital, delivering more holistic, actionable insights and intelligence, modernizing workflows, and navigating the climate and sustainability landscape.</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i/>
          <w:color w:val="000000"/>
          <w:sz w:val="20"/>
        </w:rPr>
        <w:t xml:space="preserve">Integrity: </w:t>
      </w:r>
      <w:r>
        <w:rPr>
          <w:rFonts w:ascii="Times New Roman;sans-serif" w:hAnsi="Times New Roman;sans-serif"/>
          <w:b w:val="false"/>
          <w:color w:val="000000"/>
          <w:sz w:val="20"/>
        </w:rPr>
        <w:t xml:space="preserve">Financial Crime Management Technology and Regulatory Technology, within our Financial Technology segment, include Nasdaq’s fraud detection, anti-money laundering, surveillance and risk data management and regulatory reporting solutions businesses. These businesses remain focused on capturing the opportunities arising from protecting the integrity of the financial system by fighting financial crime and helping our clients solve their most complex risk and compliance challenges.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PRODUCTS AND SERVICES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Capital Access Platforms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Access Platforms segment delivers liquidity, transparency and integrity to the corporate issuer and investment community by empowering our clients to effectively navigate the capital markets, achieve their sustainability goals, and drive governance excellence. We offer a suite of products to assist companies in managing corporate governance standards.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Access Platforms segment comprises Data &amp; Listing Services, Index and Workflow &amp; Insights.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Data &amp; Listing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North American and European data products enhance transparency of market activity within our exchanges and provide critical information to professional and non-professional investors globally. Our Data business distributes historical and real-time market data to sell-side customers, the institutional investing community, retail online brokers, proprietary trading firms, and other venues, as well as internet portals and data distributors.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access to our market depth, order imbalances, market sentiment and other analytical data.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distribute this proprietary market information to both market participants and non-participants through a number of proprietary products, including Nasdaq TotalView, our flagship market depth quote product. We offer TotalView products for The Nasdaq Stock Market and our Nasdaq BX, Nasdaq PSX and Nordic markets. We also offer Nordic Equity TotalView, Nordic Derivatives TotalView and Nordic Fixed Income TotalView for Nordic markets.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several other proprietary services and data products to provide market information, including Nasdaq Basic, a lower cost alternative to the industry Level 1 feed and Nasdaq Canada Basic, a lower cost alternative to other data feeds. We also provide various other data, including data relating to our U.S. equities and options exchanges and Nordic equities, derivatives, fixed income and futures.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 variety of listing platforms around the world to provide multiple global capital raising solutions for public companies. Companies listed on our markets represent a diverse array of industries including, among others, healthcare, consumer products, telecommunication services, information technology, financial services, industrials and energy. Our main listing markets are The Nasdaq Stock Market and the Nasdaq Nordic and Nasdaq Baltic exchanges.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seeking to list securities on The Nasdaq Stock Market may do so on one of the three market tiers: The Nasdaq Global Select Market, The Nasdaq Global Market, or The Nasdaq Capital Market. To qualify, companies must meet minimum listing requirements, including specified financial and corporate governance criteria. Once listed, companies must maintain rigorous listing and corporate governance standards.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 total of 5,249 companies listed securities on our U.S., Nasdaq Nordic, Nasdaq Baltic and Nasdaq First North exchanges. As of December 31, 2024, a total of 4,075 companies listed securities on The Nasdaq Stock Market, with 1,383 listings on The Nasdaq Global Select Market, 1,366 on The Nasdaq Global Market and 1,326 on The Nasdaq Capital Market.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seek new listings from companies conducting IPOs, including SPACs, and direct listings as well as companies looking to switch from alternative exchanges. The 2024 new listings were comprised of the following:</w:t>
      </w:r>
    </w:p>
    <w:tbl>
      <w:tblPr>
        <w:tblW w:w="9766" w:type="dxa"/>
        <w:jc w:val="left"/>
        <w:tblInd w:w="0" w:type="dxa"/>
        <w:tblLayout w:type="fixed"/>
        <w:tblCellMar>
          <w:top w:w="28" w:type="dxa"/>
          <w:left w:w="28" w:type="dxa"/>
          <w:bottom w:w="28" w:type="dxa"/>
          <w:right w:w="28" w:type="dxa"/>
        </w:tblCellMar>
      </w:tblPr>
      <w:tblGrid>
        <w:gridCol w:w="3290"/>
        <w:gridCol w:w="2891"/>
        <w:gridCol w:w="2908"/>
        <w:gridCol w:w="180"/>
        <w:gridCol w:w="181"/>
        <w:gridCol w:w="316"/>
      </w:tblGrid>
      <w:tr>
        <w:trPr/>
        <w:tc>
          <w:tcPr>
            <w:tcW w:w="3290"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company IPOs</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908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90"/>
              <w:jc w:val="both"/>
              <w:rPr>
                <w:rFonts w:ascii="Times New Roman;sans-serif" w:hAnsi="Times New Roman;sans-serif"/>
                <w:b w:val="false"/>
                <w:color w:val="000000"/>
                <w:sz w:val="20"/>
              </w:rPr>
            </w:pPr>
            <w:r>
              <w:rPr>
                <w:rFonts w:ascii="Times New Roman;sans-serif" w:hAnsi="Times New Roman;sans-serif"/>
                <w:b w:val="false"/>
                <w:color w:val="000000"/>
                <w:sz w:val="20"/>
              </w:rPr>
              <w:t>SPAC IPOs</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9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Switches from the New York Stock Exchange LLC, or NYSE, and the NYSE American LLC, or NYSE American</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9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Upgrades from OTC</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9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ETPs and Other Listings</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r>
      <w:tr>
        <w:trPr/>
        <w:tc>
          <w:tcPr>
            <w:tcW w:w="9089" w:type="dxa"/>
            <w:gridSpan w:val="3"/>
            <w:tcBorders/>
            <w:shd w:fill="FFFFFF" w:val="clear"/>
            <w:tcMar>
              <w:top w:w="0" w:type="dxa"/>
              <w:left w:w="0" w:type="dxa"/>
              <w:bottom w:w="0" w:type="dxa"/>
              <w:right w:w="0" w:type="dxa"/>
            </w:tcMar>
            <w:vAlign w:val="center"/>
          </w:tcPr>
          <w:p>
            <w:pPr>
              <w:pStyle w:val="TableContents"/>
              <w:bidi w:val="0"/>
              <w:spacing w:lineRule="auto" w:line="240" w:before="44" w:after="22"/>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r>
      <w:tr>
        <w:trPr/>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 eligible IPO win rates: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total</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companies</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we had 17 new listings resulting from operating companies switching their listings from NYSE or NYSE American to join The Nasdaq Stock Market as well as 13 ETP switches, included in ETPs and other listings in the table above. More than $180 billion in global equity market capitalization switched to The Nasdaq Stock Market. Eligible IPO win rate only includes companies that meet quantitative Nasdaq listing standards.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listings on the exchanges that comprise Nasdaq Nordic and Nasdaq Baltic. For smaller companies and growth companies, we offer access to the financial markets through the Nasdaq First North alternative marketplaces. As of December 31, 2024, a total of 1,174 companies listed securities on our Nordic and Baltic exchanges.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European listing customers include companies, funds and governments. Customers issue securities in the form of cash equities, depository receipts, warrants, ETPs, convertibles, rights, options, bonds or fixed-income related products. In 2024, a total of 31 new companies listed on our Nordic and Baltic exchanges.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Index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Index business develops and licenses Nasdaq-branded indices and financial products. License fees for our trademark licenses vary by product based on a percentage of underlying assets, dollar value of a product issuance, number of products or number of contracts traded. We also license cash-settled options, futures and options on futures on our indices.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401 ETPs listed on 28 exchanges in over 20 countries tracked a Nasdaq index and accounted for $647 billion in AUM. Our flagship index, the Nasdaq-100 Index, or NDX, includes the top 100 non-financial companies listed on The Nasdaq Stock Market. More than 150 ETPs worldwide track indices in the NDX ecosystem, which had over $520 billion in assets tracking the indices as of December 31, 2024, or 80% of total AUM.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index data products based on Nasdaq indices. Index data products include our Global Index Data Service, which delivers real-time index values throughout the trading day, and Global Index Watch/Global Index File Delivery Service, which delivers daily and historical weightings and components data, corporate actions and a breadth of additional data for the indices that we operate.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Workflow &amp; Insights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Workflow &amp; Insights includes our analytics and corporate solutions products.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analytics products provide asset managers, investment consultants and institutional asset owners with information and analytics to make data-driven investment decisions, deploy their resources more productively, and provide liquidity solutions for private funds. Through our eVestment and Solovis platforms, we provide a suite of cloud-based solutions that help institutional investors and consultants conduct pre-investment due diligence, and monitor their portfolios post-investment. The eVestment platform also enables asset managers to efficiently distribute information about their firms and funds to asset owners and consultants worldwide.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Nasdaq Fund Network and Nasdaq Data Link are additional platforms in our suite of investment data analytics offerings and data management tools. Nasdaq Fund Network gathers and distributes daily net asset values from over 50,000 funds and other investment vehicles across North America. Nasdaq Data Link strengthens our position as a leading source for financial, economic, and alternative datasets.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solutions serves both public and private companies and organizations through our Investor Relations Intelligence, Governance Solutions and Sustainability Solutions products. Our public company clients can be companies listed on our exchanges or other U.S. and global exchanges. Our private company clients include a diverse group of organizations ranging from family-owned companies, government organizations, law firms, privately held entities, and various non-profit organizations to hospitals and healthcare systems.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Investor Relations Intelligence offerings include a global team of expert consultants that deliver advisory services including Equity Surveillance &amp; Shareholder Analysis, Investor Engagement and Perception Studies, as well as an industry-leading platform, Nasdaq IR Insight, to investor relations professionals and executive teams. These solutions allow investor relations officers and executives to better manage their investor relations programs, understand their investor base, target new investors, manage meetings and consume key data such as investor profiles, equity research, consensus estimates and news.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Governance Solutions products, we provide an industry-leading board meeting management platform, Nasdaq Boardvantage, and consulting services that streamline the meeting process for board of directors and executive leadership teams and enable them to accelerate decision making and strengthen governance.</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Sustainability Solutions includes consulting services and purpose built sustainability reporting software. Our advisory practice helps companies analyze, assess and action best practices as it relates to their sustainability programs. Nasdaq Metrio is our SaaS-based end-to-end sustainability reporting platform that enables corporates to collect, measure, disclose and communicate investor-grade, audited ESG data efficiently across dozens of raters, rankers and framework organizations to drive strategic outcomes and attract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Financial Technology</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Technology segment delivers world leading platforms that improve the liquidity, transparency and integrity of the global economy by architecting and operating the world’s best markets. This segment comprises Financial Crime Management Technology, Regulatory Technology and Capital Markets Technology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global technology solutions provider and partner to exchanges, clearing organizations, central securities depositories, banks, brokers, buy-side firms and corporate businesses, and power more than 135 marketplaces (including those operated by Nasdaq) and regulators, in more than 55 countries. Our solutions can handle a wide array of assets, including but not limited to cash equities, equity derivatives, currencies, various interest-bearing securities, commodities, energy products and digital currencies. Our solutions can also be used in the creation of new asset classes by non-capital markets customers, as discussed further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Crime Management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Crime Management Technology includes our Nasdaq Verafin solution which delivers a leading anti-financial crime platform improving the integrity and transparency of the financial world. Nasdaq Verafin provides a SaaS solution to financial institutions for fraud detection and management, AML and countering the financing of terrorism compliance and management, high-risk customer management, sanctions screening and management, and information sharing.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Verafin has leveraged AI for more than 20 years to deliver industry-leading financial crime management solutions, combining deep domain and technical expertise with consortium data. Nasdaq Verafin's comprehensive solutions help financial institutions tackle complex problems, including payments fraud targeting all payment channels.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innovative AI-based Targeted Typology Analytics solution examines a range of behavioral, transactional, third-party, and consortium insights for more effective detection of crimes with fewer false positives and high quality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Nasdaq Verafin solution provides the tools to help more than 2,600 North American financial institutions with regulatory compliance as well as detect, investigate and report money laundering and financial fraud.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Technology includes AxiomSL and surveillance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AxiomSL is a global leader in risk data management and regulatory reporting solutions for the financial industry, including banks, broker dealers and asset managers. Its unique enterprise data management platform delivers data lineage, risk aggregation, analytics, workflow automation, reconciliation, validation and audit functionality, as well as disclosures.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AxiomSL’s platform supports compliance across a wide range of global and local regulations and delivers solutions and services for financial regulatory reporting, liquidity, capital and credit, operations, trade and transaction reporting, and ESG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surveillance solutions include a SaaS platform designed for banks, brokers and other market participants to assist in complying with market rules, regulations and internal market surveillance policies and serves more than 170 clients. We also provide a solution to regulators and exchanges with a robust platform to manage cross-market, cross-asset and multi-venue surveillance. This offering powers surveillance for more than 50 exchanges and 18 regulators.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Capital Markets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Capital Markets Technology includes our Calypso and market technology solutions as well as trade management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Calypso is a leading platform providing cross-asset, front-to-back trading, treasury, risk and collateral management solutions. The Calypso solution provides customers with a single platform designed to enable consolidation, innovation and growth. The platform supports front, middle and back office activities in exchange-traded and OTC instruments and supports multiple financial asset classes and the associated financial instruments. Calypso’s software application specializes in capital markets, investment management, risk management, clearing, collateral, treasury and liquidity management.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Calypso platform, leveraging modern technology, is versatile and serves customers across different industries, including banks, central banks, buy-side clients, government-sponsored entities and corporate clients, and can quickly adapt to changing paradigms including new asset classes, regulations, trading venues, and trading and processing workflows.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Nasdaq’s market technology solutions are utilized by leading markets in North America, Europe, Asia, Middle East, Latin America and Africa. These solutions can handle a wide array of assets, including but not limited to cash equities, equity derivatives, currencies, various interest-bearing securities, commodities, energy products and digital currencies. Our solutions can also be used in the creation of new asset classes by non-capital markets customers. We continue to develop our SaaS business portfolio by extending and migrating our current offerings to SaaS.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and deliver mission-critical solutions to market infrastructure operators, which include exchanges, regulators, clearinghouses and central securities depositories. These solutions are designed to cover all aspects of a market operator’s needs, from trading and clearing to risk management, index development, data, management, testing and quality assurance.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serving the market operators in the core capital markets, there is a demand for mission critical solutions to enable robust operation of new emerging asset classes such as crypto currencies and native digital markets. Our market technology business currently offers its services to several digital assets exchanges, and the SaaS-based Marketplace Services Platform provides next-generation marketplace capabilities spanning the transaction lifecycle to facilitate the exchange of assets, services and information across various types of market ecosystems and machine-to-machine transactions.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technology business also provides complex delivery management and systems integration. Through our integration services, we can assume responsibility for projects that involve migration to a new system and the establishment of entirely new marketplaces. We also offer operation and support for the applications, systems platforms, networks and other components included in an information technology solution, as well as advisory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trade management services provide market participants with a wide variety of alternatives for connecting to and accessing our markets for a fee. Our marketplaces may be accessed via a number of different protocols used for quoting, order entry, trade reporting and connectivity to various data feeds. WorkX, a web-based, front-end interface allows market participants to view data, utilize risk management tools, and submit and review trade reports. WorkX enables a seamless workflow and enhanced trade intelligence. In addition, we offer a variety of add-on compliance tools to help market participants comply with regulatory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colocation services to market participants, whereby we offer firms cabinet space and power to house their own equipment and servers within our data centers. Additionally, we offer a number of wireless connectivity offerings between certain data centers using millimeter wave and microwave technology.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Market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Market Services segment includes our equity derivative trading and clearing, cash equity trading, fixed income, currency and commodities trading. We operate 19 exchanges across several asset classes, including derivatives, commodities, cash equity, debt, structured products and ETPs.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trading services in North America and Europe. In the U.S., we operate six options exchanges: Nasdaq PHLX, The Nasdaq Options Market, Nasdaq BX Options, Nasdaq ISE, Nasdaq GEMX and Nasdaq MRX. These exchanges facilitate the trading of equity, ETF, index and foreign currency options. Our combined options market share in 2024 represented the largest share of the U.S. market for multi-listed equity options. Our options trading platforms provide trading opportunities to retail investors, algorithmic trading firms and market makers, who tend to prefer electronic trading, and institutional investors, who typically require high touch services to execute their trades, which are often performed on our trading floor in Philadelphia.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operate three cash equity exchanges: The Nasdaq Stock Market, Nasdaq BX and Nasdaq PSX. Our U.S. cash equity exchanges offer trading of both Nasdaq-listed and non-Nasdaq-listed securities. The Nasdaq Stock Market is the largest single venue of liquidity for trading U.S.-listed cash equities. Market participants include market makers, broker-dealers, ATSs, institutional investors, and registered securities exchanges. We also operate a U.S. corporate bond exchange for the listing of corporate bonds. </w:t>
      </w:r>
    </w:p>
    <w:p>
      <w:pPr>
        <w:pStyle w:val="TextBody"/>
        <w:bidi w:val="0"/>
        <w:spacing w:lineRule="auto" w:line="288" w:before="120" w:after="283"/>
        <w:jc w:val="both"/>
        <w:rPr/>
      </w:pPr>
      <w:r>
        <w:rPr>
          <w:rFonts w:ascii="Times New Roman;sans-serif" w:hAnsi="Times New Roman;sans-serif"/>
          <w:b w:val="false"/>
          <w:color w:val="000000"/>
          <w:sz w:val="20"/>
        </w:rPr>
        <w:t>Our Market Services segment also includes revenues from U.S. Tape plans. The plan administrators sell quotation and last sale information for all transactions, whether traded on The Nasdaq Stock Market or other exchanges, to market participants and to data distributors, who</w:t>
      </w:r>
      <w:r>
        <w:rPr>
          <w:color w:val="000000"/>
        </w:rPr>
        <w:t xml:space="preserve"> </w:t>
      </w:r>
      <w:r>
        <w:rPr>
          <w:rFonts w:ascii="Times New Roman;sans-serif" w:hAnsi="Times New Roman;sans-serif"/>
          <w:b w:val="false"/>
          <w:color w:val="000000"/>
          <w:sz w:val="20"/>
        </w:rPr>
        <w:t>then provide the information to subscribers. After deducting costs, the plan administrators distribute the tape revenues to the respective plan participants based on a formula required by Regulation NMS that takes into account both trading and quoting activity.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Canada, we operate an exchange with three independent markets for the trading of Canadian-listed securities: Nasdaq Canada CXC, Nasdaq Canada CX2 and Nasdaq Canada CXD.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Europe, we operate exchanges in Tallinn (Estonia), Riga (Latvia) and Vilnius (Lithuania) as Nasdaq Baltic and exchanges in Stockholm (Sweden), Copenhagen (Denmark), Helsinki (Finland), and Reykjavik (Iceland) together with the clearing operations of Nasdaq Clearing, as Nasdaq Nordic.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Collectively, the Nasdaq Nordic and Nasdaq Baltic exchanges offer trading in cash equities, depository receipts, warrants, convertibles, rights, fund units and ETFs, as well as trading and clearing of derivatives and clearing of resale and repurchase agreements. Our platform allows the exchanges to share the same trading system, which enables efficient cross-border trading and settlement, cross-exchange membership and a single source for Nordic data products. Settlement and registration of cash equity trading takes place in Sweden, Finland, and Denmark via the local central securities depositories. In addition, Nasdaq owns a central securities depository that provides notary, settlement, central maintenance and other services in the Baltic countries and Iceland.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Europe, Nasdaq Nordic offers trading in derivatives, such as stock options and futures and index options and futures. Nasdaq Clearing offers CCP clearing services for stock options and futures and index options and futures.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Fixed Income, or NFI, provides a wide range of products and services, such as trading and clearing, for fixed income products in Sweden, Denmark, Finland, Iceland, Estonia, Lithuania and Latvia. Nasdaq is the largest bond listing venue in the Nordics, with more than 5,600 listed retail and institutional bonds. In addition, Nasdaq Nordic facilitates the trading and clearing of Nordic fixed income derivatives in a unique market structure. Buyers and sellers agree to trades in fixed income derivatives through bilateral negotiations and then report those trades to Nasdaq Clearing. Nasdaq Clearing offers CCP clearing services for fixed-income options and futures and interest rate swaps. Nasdaq Clearing also operates a clearing service for the resale and repurchase agreement market.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Commodities is the brand name for Nasdaq’s European commodity-related products and services such as trading and clearing. Nasdaq Commodities’ offerings include derivatives in power, natural gas and carbon emission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markets, seafood and electricity certificates. These products are listed on Nasdaq Oslo ASA, except for seafood, which is listed on Fish Pool, a third-party platform. In June 2023, we entered into an agreement to sell our Nordic power trading and clearing business, which was subsequently terminated in June 2024. In January 2025, we entered into a new agreement to transfer existing open positions in our Nordic power derivatives trading and clearing business to a European exchange. The completion of this transaction is subject to customary regulatory approvals. Additionally, beginning in January 2025, Nasdaq no longer offered seafood derivatives clearing.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Oslo ASA is the commodity derivatives exchange for European products. All trades with Nasdaq Oslo ASA are subject to clearing with Nasdaq Clearing, which offers CCP clearing services for commodities options and futures.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own a majority stake in Puro.earth, a Finnish-based leading platform for carbon removal. Puro.earth offers engineered carbon removal instruments that are verified and tradable through an open, online platform. Puro.earth’s marketplace capabilities add to our suite of sustainability-focused technologies and workflow solutions and give our clients further resources to achieve their sustainability objectives.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ENABLERS, DIFFERENTIATORS AND COMPETITION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plays a key role in ensuring the growth, reliability and regulation of financial markets. We have established a technology risk program to evaluate the resiliency of critical systems, including risks associated with cybersecurity. This program is focused on identifying areas for improvement in systems, and implementing changes and upgrades to technology and processes to minimize future risk. We have continued our focus on improving the security of our technology with an emphasis on employee awareness through training, targeted phishing education campaigns, and new tool deployment for our securities operations team. See “Item 1A. Risk Factors” in this Annual Report on Form 10-K for further discussion.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amplifying the impact that AI has on the business and in our products. We continue to develop products and services using AI, including generative AI, and the use of AI in product development remains a priority for us in 2025. We are currently leveraging AI to further develop products and solutions in areas such as investment analytics, investor relations and fraud and anti-money laundering, as well as to modernize markets with the SEC approval of the first AI-powered order type. For example, we are working on developing AI systems to track financial transactions across the ecosystem to determine potential fraud, money laundering, or other actions. These solutions can be utilized by our clients, including banks, other exchanges and brokers firms that use our solutions to reduce or eliminate threats.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the ethical and responsible use of AI in our products, services and business operations. Our AI governance structure aligns the application of AI with our core values through a framework that addresses the new and unique risks that AI technology presents, while enabling us to explore innovation and take advantage of opportunities that AI presents to better serve our customers, advance our business objectives and bring value to our shareholders. Our AI governance framework applies risk management across AI-related product development and business usage in the company through a multi-disciplinary approach. The framework puts into practice Nasdaq’s responsible AI usage principles and considers the U.S. National Institute of Standards and Technology AI Risk Management Framework. It is administered through company-wide policies, procedures and supporting preventative and detective controls.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focus on AI to enhance features of our existing offerings and in the development of new solutions, together with our significant proprietary data sets and our use of AI to drive internal operating efficiencies, provides us with a competitive advantage.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Nasdaq continued its shift from traditional on-premises deployments by utilizing and deploying cloud infrastructure. We believe that migrating our exchanges to the cloud, through our partnership with AWS, will result in improved performance and increased flexibility for our customers. We expect to move additional markets to the cloud with AWS during the next several years. The shift to cloud-based markets enables Nasdaq to provide its clients access to enhanced capabilities, including virtual connectivity services, market analytics and machine learning. We also expect to continue to leverage the cloud-based infrastructure for our market technology clients, assisting such clients in developing their own platforms and customizing their offerings for their local, rapidly changing industry dynamics. Additionally, we expanded our existing colocation facility to meet the growing demand of market participants that seek proximity to the Nasdaq trading systems. Our expanded and enhanced facility is designed to provide the optimal environment for the next generation of compute workloads and offer clients access to a wider range of services and capabilities. </w:t>
      </w:r>
    </w:p>
    <w:p>
      <w:pPr>
        <w:pStyle w:val="TextBody"/>
        <w:bidi w:val="0"/>
        <w:spacing w:lineRule="auto" w:line="288" w:before="120" w:after="283"/>
        <w:jc w:val="both"/>
        <w:rPr/>
      </w:pPr>
      <w:r>
        <w:rPr>
          <w:rFonts w:ascii="Times New Roman;sans-serif" w:hAnsi="Times New Roman;sans-serif"/>
          <w:b w:val="false"/>
          <w:color w:val="000000"/>
          <w:sz w:val="20"/>
        </w:rPr>
        <w:t>To facilitate the exchange migration to AWS, Nasdaq will also leverage its Fusion technology platform. Fusion positions Nasdaq’s North American and European markets to manage, operate and deploy a common platform that can be used across our nine Nasdaq derivative markets, while enabling our markets for cloud deployment</w:t>
      </w:r>
      <w:r>
        <w:rPr>
          <w:rFonts w:ascii="Calibri;sans-serif" w:hAnsi="Calibri;sans-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Competitive Strengths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global, client-focused technology company with expertise in markets and financial technology. We deploy robust technology capabilities and have developed innovative solutions to further address client needs across the financial ecosystem. Our business segments complement each other and we believe that our strong competitive position in large, high-growth markets positions us for sustained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Value Proposition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leading platforms that can improve the liquidity, transparency, and integrity of the global financial ecosystem, allowing us to:</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Develop efficient and reliable technologies to facilitate and protect the financial system across asset classes;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Empower our clients to effectively navigate the capital markets, achieve their sustainability goals, and maintain corporate governance excellence;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Provide data, tools and insights that drive sound decision making while complying with evolving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Technological Strength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strength and resiliency of our technology, enhanced by our Financial Technology segment, in meeting the advancing demands of our global customer base is vital to the continued success of our business and distinguishes us from our competitors.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be a trusted partner to a diverse range of clients that participate across the global financial ecosystem, including:</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Banks and Financial Institutions:</w:t>
      </w:r>
      <w:r>
        <w:rPr>
          <w:color w:val="000000"/>
        </w:rPr>
        <w:t xml:space="preserve"> </w:t>
      </w:r>
      <w:r>
        <w:rPr>
          <w:rFonts w:ascii="Times New Roman;sans-serif" w:hAnsi="Times New Roman;sans-serif"/>
          <w:b w:val="false"/>
          <w:color w:val="000000"/>
          <w:sz w:val="20"/>
        </w:rPr>
        <w:t>Providing banks and financial institutions with safety and integrity through a suite of trade surveillance, cloud-native fraud and anti-money laundering solutions and robust regulatory reporting software.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Market Infrastructure Operators:</w:t>
      </w:r>
      <w:r>
        <w:rPr>
          <w:color w:val="000000"/>
        </w:rPr>
        <w:t xml:space="preserve"> </w:t>
      </w:r>
      <w:r>
        <w:rPr>
          <w:rFonts w:ascii="Times New Roman;sans-serif" w:hAnsi="Times New Roman;sans-serif"/>
          <w:b w:val="false"/>
          <w:color w:val="000000"/>
          <w:sz w:val="20"/>
        </w:rPr>
        <w:t>Assisting market infrastructure operators in increasing efficiency, meeting customer needs, and growing revenue across the trade lifecycle.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Brokers and Traders:</w:t>
      </w:r>
      <w:r>
        <w:rPr>
          <w:color w:val="000000"/>
        </w:rPr>
        <w:t xml:space="preserve"> </w:t>
      </w:r>
      <w:r>
        <w:rPr>
          <w:rFonts w:ascii="Times New Roman;sans-serif" w:hAnsi="Times New Roman;sans-serif"/>
          <w:b w:val="false"/>
          <w:color w:val="000000"/>
          <w:sz w:val="20"/>
        </w:rPr>
        <w:t>Helping brokers and traders to confidently plan, optimize, manage risk and execute their business vision.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Market Participants:</w:t>
      </w:r>
      <w:r>
        <w:rPr>
          <w:color w:val="000000"/>
        </w:rPr>
        <w:t xml:space="preserve"> </w:t>
      </w:r>
      <w:r>
        <w:rPr>
          <w:rFonts w:ascii="Times New Roman;sans-serif" w:hAnsi="Times New Roman;sans-serif"/>
          <w:b w:val="false"/>
          <w:color w:val="000000"/>
          <w:sz w:val="20"/>
        </w:rPr>
        <w:t>Providing market participants with access to liquidity and enabling them to efficiently consume, monitor, analyze</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and capitalize on real-time market changes.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Listed Companies:</w:t>
      </w:r>
      <w:r>
        <w:rPr>
          <w:color w:val="000000"/>
        </w:rPr>
        <w:t xml:space="preserve"> </w:t>
      </w:r>
      <w:r>
        <w:rPr>
          <w:rFonts w:ascii="Times New Roman;sans-serif" w:hAnsi="Times New Roman;sans-serif"/>
          <w:b w:val="false"/>
          <w:color w:val="000000"/>
          <w:sz w:val="20"/>
        </w:rPr>
        <w:t xml:space="preserve">Enabling companies to access capital markets effectively, manage stakeholders and leverage technology to operate and govern effectively.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Investors and Asset Managers:</w:t>
      </w:r>
      <w:r>
        <w:rPr>
          <w:color w:val="000000"/>
        </w:rPr>
        <w:t xml:space="preserve"> </w:t>
      </w:r>
      <w:r>
        <w:rPr>
          <w:rFonts w:ascii="Times New Roman;sans-serif" w:hAnsi="Times New Roman;sans-serif"/>
          <w:b w:val="false"/>
          <w:color w:val="000000"/>
          <w:sz w:val="20"/>
        </w:rPr>
        <w:t>Offering products and services to assist investors and asset managers in optimizing their portfolios and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Capital Access Platforms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Data business includes proprietary data products. Proprietary data products are made up exclusively of data derived from each exchange’s systems. Competition in the data business is influenced by rapidly changing technology and the creation of new product and service offerings.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proprietary data products face competition globally from alternative exchanges and trading venues that offer similar products. Our data business competes with other exchanges and third-party vendors to provide information to market participants.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Listing Services business in both the U.S. and Europe provides a means of facilitating capital formation through public capital markets. There are competing ways of raising capital, and we seek to demonstrate the benefits of listing shares on our exchange. Our primary competitor for larger company stock share listings in the U.S. is NYSE. The Nasdaq Stock Market competes with local and international markets located outside the U.S. for listings of equity securities of both U.S. and non-U.S. companies that choose to list (or dual-list) outside of their home country. For example, The Nasdaq Stock Market competes for listings with exchanges in Europe and Asia. Additionally, we face competition from private equity firms that may elect to keep their portfolio companies as private companies.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Listings Services business in Europe is characterized by a large number of exchanges competing for new or secondary listings. Each country has one or more national exchanges, which are often the first choice of companies in each respective country. For those considering an alternative, competing European exchanges that frequently attract many listings from outside their respective home countries include LSE, Euronext N.V. and Deutsche Börse AG. In addition to the larger exchanges, companies seeking capital or liquidity from public capital markets are able to raise capital without a regulated market listing and can consider trading their shares on smaller markets and quoting facilities.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Index business offers Nasdaq-branded indices and financial products and faces competition from providers of various competing financial indices. For example, there are a number of indices that aim to track the technology sector and thereby compete with the Nasdaq-100 Index and the Nasdaq Composite Index. We face competition from investment banks, dedicated index providers, markets and other product developers, including S&amp;P Dow Jones Indices, MSCI and FTSE Russell.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Workflow &amp; Insights includes our analytics and corporate solutions businesses. Our analytics business faces competition from a broad array of data and analytics suppliers, both established firms and small start-ups.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solutions business faces competition that can be varied and fragmented. Other exchange operators are partnering with firms that have capabilities in this area and seeking to acquire relevant assets in order to provide investor relations services to customers alongside listing services. Our Sustainability Solutions, including Nasdaq Metrio and sustainability consulting services, are positioned in evolving markets with competitors offering multiple point solutions providing software, data or consulting services. Our Governance Solutions products compete against a wide range of companies that vary by customer segment and geography.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our Financial Crime Management Technology and trade and market surveillance businesses, competitors include core banking solution providers ranging from small to large, independent solution providers, FinTech start-ups and in-house custom builds. We compete against enterprise solution providers and point solutions for clients with larger AUM. Competitors also include companies that serve multiple industries in addition to financial services with generalized solutions, such as business intelligence tools, data integrators, investigation platforms and software covering the broader compliance lifecycle. Recently, there has been an increase of FinTech start-ups shifting into the surveillance, fraud detection and AML space offering highly-specialized solutions for advanced data analytics, AI and machine learning technology. The Financial Crime Management Technology and surveillance offerings compete on a number of factors, including but not limited to, increased workflow efficiency, quality of the data, quality of alerts and pricing.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Crime Management Technology and surveillance offerings must demonstrate the ability to decrease false-positives and provide in-depth views into potential abuses and risks that stem from those cases. These offerings help firms reduce both the reputational and regulatory risk as well as the complexity in efforts to keep markets and financial institutions safe.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to our AxiomSL solutions, which includes financial, statistical and prudential reporting as well as shareholder disclosures, trade reporting and ESG reporting, include large independent solution providers, in-house solutions at financial institutions as well as some smaller independent point solution providers. As regulatory reporting becomes more granular and time sensitive, the ability of our platform to operate with speed at scale, and with consistency across functional business domains continues to set AxiomSL apart.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to our Calypso product, which includes solutions for cross-asset, front-to-back trading, treasury, risk and collateral management, include enterprise solution providers as well as local and regional providers focusing on smaller clients. Competition among larger clients, such as global banks, typically includes internally developed solutions. Other competitors include point solution companies, such as pricing library providers, and post-trade service providers.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technology business faces competition from exchanges and exchange-related businesses that internally develop their technology. This model has gradually changed as many operators have recognized the cost-savings made possible by buying technology from third parties. As a result, two types of competitors have emerged in our market technology business: exchange operators and technology providers unaffiliated with exchanges. These organizations make available a range of off-the-shelf technology, including trading, clearing, settlement, depository and information dissemination, and offer customization and operation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expertise. Market conditions in market technology are evolving rapidly, which makes continuous investment and innovation a necessity. Our partnership with AWS enables us to compete with other companies that are developing cloud-based exchanges and market technology offerings.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trade management services business competes with other exchange operators, extranet providers, and data center providers.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Market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intense competition in North America and Europe. We seek to provide market participants with greater functionality, trading system stability and performance, high levels of customer service, and efficient pricing. In both North America and Europe, our competitors include other exchange operators, operators of non-exchange trading systems and banks and brokerages that operate their own internal trading pools and platforms.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our options markets compete with exchanges operated by Cboe Global Markets, Inc., or Cboe, Miami International Holdings, Inc., or MIAX, Intercontinental Exchange, Inc., or ICE, Members Exchange and BOX Options Market. In the U.S., our cash equities markets compete with exchanges operated by Cboe, ICE, MIAX, The Investors Exchange, Members Exchange and Long Term Stock Exchange. We also face competition from ATSs, known as “dark pools,” and other less-heavily regulated broker-owned trade facilitation systems, as well as from other types of OTC trading. In Canada, our cash equities exchange competes principally with exchanges such as the Toronto Stock Exchange, or TSX.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U.S. Tape plans earn revenue from consolidated data products which are distributed by SEC-mandated consolidators (one for Nasdaq-listed stocks and another for NYSE and other-listed stocks) that share the revenue among the exchanges that contribute data. The consolidated data business is under competitive pressure from other securities exchanges that trade Nasdaq-listed securities. In addition, The Nasdaq Stock Market similarly competes for the tape fees from the sale of information on securities listed on other markets.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Europe, our cash equities markets compete with exchanges such as Euronext N.V., Deutsche Börse AG, London Stock Exchange Group plc, or LSE, and many Multilateral Trading Facilities, or MTFs, such as Cboe, Turquoise and Aquis. Our competitors in the trading and clearing of options and futures on European equities include Eurex, Cboe, ICE Futures Europe and London Clearing House, or LCH. In addition, in equities markets in Europe, we face competition from other broker-owned systems, dark pools, Systematic Internalizers, or SIs, and other types of OTC trading. Competition among exchanges for trading European equity derivatives tends to occur where there is competition in the trading of the underlying equities. In addition to exchange-based competition, we face competition from OTC derivative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implementation of MiFID II and MiFIR has resulted in further competitive pressure on our European trading business. SIs are attracting a significant share of electronically matched volume and compete aggressively for the trading of equity securities listed on our Nordic exchanges. Different bilateral trading systems pursuing block business also remain active in Europe. </w:t>
      </w:r>
    </w:p>
    <w:p>
      <w:pPr>
        <w:pStyle w:val="TextBody"/>
        <w:bidi w:val="0"/>
        <w:spacing w:lineRule="auto" w:line="288" w:before="120" w:after="283"/>
        <w:jc w:val="both"/>
        <w:rPr/>
      </w:pPr>
      <w:r>
        <w:rPr>
          <w:rFonts w:ascii="Times New Roman;sans-serif" w:hAnsi="Times New Roman;sans-serif"/>
          <w:b w:val="false"/>
          <w:color w:val="000000"/>
          <w:sz w:val="20"/>
        </w:rPr>
        <w:t>Our European fixed income and commodities products</w:t>
      </w:r>
      <w:r>
        <w:rPr>
          <w:color w:val="000000"/>
        </w:rPr>
        <w:t xml:space="preserve"> </w:t>
      </w:r>
      <w:r>
        <w:rPr>
          <w:rFonts w:ascii="Times New Roman;sans-serif" w:hAnsi="Times New Roman;sans-serif"/>
          <w:b w:val="false"/>
          <w:color w:val="000000"/>
          <w:sz w:val="20"/>
        </w:rPr>
        <w:t xml:space="preserve">and services are subject to competitive pressure from European exchanges and clearinghouses.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intellectual property assets are important for maintaining the competitive differentiation of our products, systems, software and services, enhancing our ability to access technology of third parties and maximizing our return on research and development investments.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support our business objectives and benefit from our investments in research and development, we actively create and maintain a wide array of intellectual property assets, including patents and patent applications related to our innovations, products and services; trademarks related to our brands, products and services; copyrights in software and creative content; trade secrets; and through other intellectual property rights, licenses of various kinds and contractual provisions. We enter into confidentiality and invention assignment agreements with our employees and contractors, and utilize non-disclosure agreements with third parties with whom we conduct business in order to secure and protect our proprietary rights and to limit access to, and disclosure of, our proprietary information.</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or have licensed, rights to trade names, trademarks, domain names and service marks that we use in conjunction with our operations and services. We have registered many of our most important trademarks in the U.S. and in foreign countries. For example, our primary “Nasdaq” mark is a registered trademark that we actively seek to protect in the U.S. and in over 50 other countries worldwide.</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Over time, we have accumulated a robust portfolio of issued patents in the U.S. and in many other jurisdictions across the world. We currently hold rights to patents relating to certain aspects of our products, systems, software and services, but we primarily rely on the innovative skills, technical competence and marketing abilities of our personnel. No single patent is in itself core to the operations of Nasdaq or any of its principal business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CORPORATE VENTURE PROGRAM</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 corporate venture program to make minority investments primarily in emerging growth FinTech companies that are strategically relevant to, and aligned with, Nasdaq. Investments are made through the venture program to further our research and development efforts and accelerate the path to commercial viability. We expect that capital invested will continue to be modest and will not have a material impact on our consolidated financial statements, existing capital return or deployment priorities. Since its inception in 2017, our venture program has grown in size and has invested in companies covering various sectors, including data, analytics and workflow technologies, blockchain and digital assets, market infrastructure, anti-financial crime, new marketplaces and enabling technologies. As of December 31, 2024, our investments, which primarily include equity and convertible debt investments, were valued at $218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ENVIRONMENTAL, SOCIAL AND GOVERNANCE MATTERS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is committed to our long-term governance and sustainability strategy, advocacy and oversight. We continue to engage with internal and external stakeholders at all levels regarding sustainability matters. During 2024, we continued our corporate, community and commercial ESG efforts, including furthering our commitment to climate change awareness, reducing our environmental impact, building a workplace culture of inclusivity and evolving our portfolio of sustainability-related solutions and services.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&amp; ESG Committee has formal responsibility and oversight for corporate ESG policies and programs and receives regular reports on key ESG matters and initiatives. Our Corporate ESG Steering Committee serves as the central coordinating body for our ESG strategy; it is co-chaired by executive leaders and comprised of a cross-functional group of Nasdaq senior executives.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continued to be committed to our decarbonization and climate strategy. We have taken steps to achieve carbon neutrality across all our business operations for the seventh consecutive year after we retire our remaining carbon offsets for 2024 by the third quarter of 2025. We are working towards our short- and long-term net-zero science-based targets, which were validated and approved by the Science Based Targets initiative in 2022. In 2024, we were named to the Dow Jones Best-in-Class World Index for the first time, the Dow Jones Best-in-Class North America Index for the ninth consecutive year and Just Capital’s Just100 list of America’s most just companies for the second consecutive year. In addition, Nasdaq maintained industry leading scores from ESG rating agencies, including a rating of “AA,” from MSCI placing Nasdaq in MSCI’s “Leaders”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environmental footprint is relatively small due to the nature of our business operations. We remain committed to reducing our environmental impact, focusing on several key areas, including our energy use, the management of our workspaces and how we conduct business travel, and engagement with our value chain. We seek to reduce our atmospheric carbon emissions and we manage our water use and the waste associated with our business operations.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help companies of all maturity levels through our robust combination of technology, tools, data, insights and capital market solutions.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sustainability-focused solutions are centered around three strategic pillars to meet our audience’s needs in a rapidly evolving market:</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Regulatory-focused Workflows:</w:t>
      </w:r>
      <w:r>
        <w:rPr>
          <w:color w:val="000000"/>
        </w:rPr>
        <w:t xml:space="preserve"> </w:t>
      </w:r>
      <w:r>
        <w:rPr>
          <w:rFonts w:ascii="Times New Roman;sans-serif" w:hAnsi="Times New Roman;sans-serif"/>
          <w:b w:val="false"/>
          <w:color w:val="000000"/>
          <w:sz w:val="20"/>
        </w:rPr>
        <w:t>A powerful, built-for-purpose sustainability data management platform with user-friendly workflows for the most impactful regulation and climate strategy needs.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AI-powered Insights:</w:t>
      </w:r>
      <w:r>
        <w:rPr>
          <w:color w:val="000000"/>
        </w:rPr>
        <w:t xml:space="preserve"> </w:t>
      </w:r>
      <w:r>
        <w:rPr>
          <w:rFonts w:ascii="Times New Roman;sans-serif" w:hAnsi="Times New Roman;sans-serif"/>
          <w:b w:val="false"/>
          <w:color w:val="000000"/>
          <w:sz w:val="20"/>
        </w:rPr>
        <w:t>Proprietary insights powered by trusted data sources and generative AI to provide our users with a better lens to make faster sustainability decisions.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In-house Expertise:</w:t>
      </w:r>
      <w:r>
        <w:rPr>
          <w:color w:val="000000"/>
        </w:rPr>
        <w:t xml:space="preserve"> </w:t>
      </w:r>
      <w:r>
        <w:rPr>
          <w:rFonts w:ascii="Times New Roman;sans-serif" w:hAnsi="Times New Roman;sans-serif"/>
          <w:b w:val="false"/>
          <w:color w:val="000000"/>
          <w:sz w:val="20"/>
        </w:rPr>
        <w:t>In-house sustainability expertise combined with technology to provide full-service support to organizations navigating global compliance requirements, while also monitoring the capital markets.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we also maintained, and continued to expand, our portfolio of sustainability services and solutions for our clients and stakeholders.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we requested our existing leading suppliers by spend to attest to our Supplier Code of Ethics. The Supplier Code of Ethics, which is available on our website, encourages our suppliers and vendors to adopt sustainability and environmental practices in line with our published Environmental Practices Statement. Additionally, our new suppliers are required to attest to the Supplier Code of Ethics in connection with the commencement of their engagement.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extensive regulation in the U.S., Canada and Europe.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U.S. 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federal securities laws establish a system of cooperative regulation of securities markets, market participants and listed companies. SROs conduct the day-to-day administration and regulation of the nation’s securities markets under the close supervision of, and subject to extensive regulation, oversight and enforcement by, the SEC. SROs, such as national securities exchanges, are registered with the SEC.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regulatory framework applies to our U.S. business in the following ways:</w:t>
      </w:r>
    </w:p>
    <w:p>
      <w:pPr>
        <w:pStyle w:val="TextBody"/>
        <w:bidi w:val="0"/>
        <w:spacing w:lineRule="auto" w:line="288" w:before="120" w:after="283"/>
        <w:jc w:val="both"/>
        <w:rPr/>
      </w:pPr>
      <w:r>
        <w:rPr>
          <w:rFonts w:ascii="Times New Roman;sans-serif" w:hAnsi="Times New Roman;sans-serif"/>
          <w:b w:val="false"/>
          <w:i/>
          <w:color w:val="000000"/>
          <w:sz w:val="20"/>
        </w:rPr>
        <w:t>National Securities Exchanges.</w:t>
      </w:r>
      <w:r>
        <w:rPr>
          <w:color w:val="000000"/>
        </w:rPr>
        <w:t xml:space="preserve"> </w:t>
      </w:r>
      <w:r>
        <w:rPr>
          <w:rFonts w:ascii="Times New Roman;sans-serif" w:hAnsi="Times New Roman;sans-serif"/>
          <w:b w:val="false"/>
          <w:color w:val="000000"/>
          <w:sz w:val="20"/>
        </w:rPr>
        <w:t>SROs in the securities industry are an essential component of the regulatory scheme of the Exchange Act responsible for providing fair and orderly markets and protecting investors. The Exchange Act and the rules thereunder, as well as each SRO’s own rules, impose many regulatory and operational responsibilities on SROs, including the day-to-day responsibilities for market and broker-dealer oversight. Moreover, an SRO is responsible for enforcing compliance by its members, and persons associated with its members, with the provisions of the Exchange Act, the rules and regulations thereunder, and the rules of the SRO, including rules and regulations governing the business conduct of its members.</w:t>
      </w:r>
    </w:p>
    <w:p>
      <w:pPr>
        <w:pStyle w:val="TextBody"/>
        <w:bidi w:val="0"/>
        <w:spacing w:lineRule="auto" w:line="288" w:before="120" w:after="283"/>
        <w:jc w:val="both"/>
        <w:rPr/>
      </w:pPr>
      <w:r>
        <w:rPr>
          <w:rFonts w:ascii="Times New Roman;sans-serif" w:hAnsi="Times New Roman;sans-serif"/>
          <w:b w:val="false"/>
          <w:color w:val="000000"/>
          <w:sz w:val="20"/>
        </w:rPr>
        <w:t>Nasdaq currently operates three cash equity, six options markets and one corporate bond market in the U.S. We operate The Nasdaq Stock Market, The Nasdaq Options Market and the Corporate Bond Market pursuant to The Nasdaq Stock Market’s SRO license; Nasdaq BX and Nasdaq BX Options pursuant to Nasdaq BX’s SRO license; Nasdaq PSX and Nasdaq PHLX pursuant to Nasdaq PHLX’s SRO license; and Nasdaq ISE, Nasdaq GEMX and Nasdaq MRX, each of which operates an options market under its own SRO license. As SROs, each entity has separate rules pertaining</w:t>
      </w:r>
      <w:r>
        <w:rPr>
          <w:color w:val="000000"/>
        </w:rPr>
        <w:t xml:space="preserve"> </w:t>
      </w:r>
      <w:r>
        <w:rPr>
          <w:rFonts w:ascii="Times New Roman;sans-serif" w:hAnsi="Times New Roman;sans-serif"/>
          <w:b w:val="false"/>
          <w:color w:val="000000"/>
          <w:sz w:val="20"/>
        </w:rPr>
        <w:t>to its broker-dealer members and listed companies, as applicable. Broker-dealers that choose to become members of our exchanges are subject to the rules of those exchanges.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our U.S. national securities exchanges are subject to SEC oversight, as prescribed by the Exchange Act, including periodic and special examinations by the SEC. Our exchanges also are potentially subject to regulatory or legal action by the SEC at any time in connection with alleged regulatory violations. We have been subject to a number of routine reviews and inspections by the SEC or external auditors in the ordinary course, and we have been and may in the future be subject to SEC enforcement proceedings. To the extent such actions or reviews and inspections result in regulatory or other changes, we may be required to modify the manner in which we conduct our business, which may adversely affect our business, operating results and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such proposed changes for public comment, after which the SEC may approve or disapprove the proposal, as it deems appropriate. SEC approval requires a finding by the SEC that the proposal is consistent with the requirements of the Exchange Act and the rules and regulations thereunder. Pursuant to the requirements of the Exchange Act, our exchanges must file with and seek approval from the SEC for, among other things, all proposals to change their pricing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conducts real-time market monitoring, certain equity surveillance not involving cross-market activity, most options surveillance, rulemaking, enforcement and membership functions through our Nasdaq Regulation department. We review suspicious trading behavior discovered by our regulatory staff, and depending on the nature of the activity, may refer the activity to FINRA for further investigation. Pursuant to regulatory services agreements between FINRA and our SROs, FINRA provides certain regulatory services to our markets, including some regulation of trading activity and surveillance and investigative functions. Our SROs retain ultimate regulatory responsibility for all regulatory activities performed under regulatory agreements by FINRA, and for fulfilling all regulatory obligations for which FINRA does not have responsibility under the regulatory services agreements.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its other SRO responsibilities, The Nasdaq Stock Market, as a listing market, also is responsible for overseeing each listed company’s compliance with The Nasdaq Stock Market’s financial and corporate governance standards. Our listing qualifications department evaluates applications submitted by issuers seeking to list their securities on The Nasdaq Stock Market to determine whether the quantitative and qualitative listing standards have been satisfied. Once securities are listed, the listing qualifications department monitors each issuer’s on-going compliance with The Nasdaq Stock Market’s continued listing standards.</w:t>
      </w:r>
    </w:p>
    <w:p>
      <w:pPr>
        <w:pStyle w:val="TextBody"/>
        <w:bidi w:val="0"/>
        <w:spacing w:lineRule="auto" w:line="288" w:before="120" w:after="283"/>
        <w:jc w:val="both"/>
        <w:rPr/>
      </w:pPr>
      <w:r>
        <w:rPr>
          <w:rFonts w:ascii="Times New Roman;sans-serif" w:hAnsi="Times New Roman;sans-serif"/>
          <w:b w:val="false"/>
          <w:i/>
          <w:color w:val="000000"/>
          <w:sz w:val="20"/>
        </w:rPr>
        <w:t>Broker-dealer regulation.</w:t>
      </w:r>
      <w:r>
        <w:rPr>
          <w:color w:val="000000"/>
        </w:rPr>
        <w:t xml:space="preserve"> </w:t>
      </w:r>
      <w:r>
        <w:rPr>
          <w:rFonts w:ascii="Times New Roman;sans-serif" w:hAnsi="Times New Roman;sans-serif"/>
          <w:b w:val="false"/>
          <w:color w:val="000000"/>
          <w:sz w:val="20"/>
        </w:rPr>
        <w:t>Nasdaq’s broker-dealer subsidiaries are subject to regulation by the SEC, the SROs and various state securities regulators. Nasdaq operates three broker-dealers: Nasdaq Execution Services, LLC, NFSTX, LLC, and Nasdaq Capital Markets Advisory LLC. Each broker-dealer is registered with the SEC, a member of FINRA and registered in the U.S. states and territories required by the operation of its business.</w:t>
      </w:r>
      <w:r>
        <w:rPr>
          <w:color w:val="000000"/>
        </w:rPr>
        <w:t xml:space="preserve"> </w:t>
      </w:r>
      <w:r>
        <w:rPr>
          <w:rFonts w:ascii="Times New Roman;sans-serif" w:hAnsi="Times New Roman;sans-serif"/>
          <w:b w:val="false"/>
          <w:color w:val="000000"/>
          <w:sz w:val="20"/>
        </w:rPr>
        <w:t>In addition, we own a minority interest in NPM.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Execution Services operates as our routing broker for sending orders from Nasdaq’s U.S. cash equity and options exchanges to other venues for execution. NFSTX is a registered ATS and acts as an intermediary to facilitate secondary transactions in certain funds (both registered or not registered under the Investment Company Act of 1940), business development companies, certain closed-end funds and private real estate investment funds. Nasdaq Capital Markets Advisory acts as a third-party advisor to privately-held or publicly-traded companies during IPOs and various other offerings.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FINRA and SROs adopt, and require strict compliance with, rules and regulations applicable to broker-dealers.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All broker-dealers have an SRO that is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assigned by the SEC as the broker-dealer’s Designated Examining Authority. The Designated Examining Authority is responsible for examining a broker-dealer for compliance with the SEC’s financial responsibility rules. FINRA is the current Designated Examining Authority for each of our broker-dealer subsidiaries.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registered broker-dealers are subject to regulatory requirements intended to ensure their general financial soundness and liquidity, which require that they comply with certain minimum capital requirements. As of December 31, 2024, each of our broker-dealers were in compliance with applicable capital requirements.</w:t>
      </w:r>
    </w:p>
    <w:p>
      <w:pPr>
        <w:pStyle w:val="TextBody"/>
        <w:bidi w:val="0"/>
        <w:spacing w:lineRule="auto" w:line="288" w:before="80" w:after="283"/>
        <w:jc w:val="both"/>
        <w:rPr/>
      </w:pPr>
      <w:r>
        <w:rPr>
          <w:rFonts w:ascii="Times New Roman;sans-serif" w:hAnsi="Times New Roman;sans-serif"/>
          <w:b w:val="false"/>
          <w:i/>
          <w:color w:val="000000"/>
          <w:sz w:val="20"/>
        </w:rPr>
        <w:t>Regulatory contractual relationships with FINRA.</w:t>
      </w:r>
      <w:r>
        <w:rPr>
          <w:color w:val="000000"/>
        </w:rPr>
        <w:t xml:space="preserve"> </w:t>
      </w:r>
      <w:r>
        <w:rPr>
          <w:rFonts w:ascii="Times New Roman;sans-serif" w:hAnsi="Times New Roman;sans-serif"/>
          <w:b w:val="false"/>
          <w:color w:val="000000"/>
          <w:sz w:val="20"/>
        </w:rPr>
        <w:t>Our SROs have signed a series of regulatory service agreements covering the services FINRA provides to the respective SROs. Under these agreements, FINRA personnel act as our agents in performing the regulatory functions outlined above, and FINRA bills us a fee for these services. These agreements ensure that the markets for which we are responsible are properly regulated. In conjunction with these agreements, we also perform certain of these functions ourselves. In addition, our SROs retain ultimate regulatory responsibility for all regulatory activities performed under these agreements by FINRA.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Exchange Act Rule 17d-2 permits SROs to enter into agreements, commonly called Rule 17d-2 agreements, approved by the SEC with respect to enforcement of common rules relating to common members. Our SROs have entered into several such agreements under which FINRA assumes regulatory responsibility for various rules or areas covered by agreements.</w:t>
      </w:r>
    </w:p>
    <w:p>
      <w:pPr>
        <w:pStyle w:val="TextBody"/>
        <w:bidi w:val="0"/>
        <w:spacing w:lineRule="auto" w:line="288" w:before="120" w:after="283"/>
        <w:jc w:val="both"/>
        <w:rPr/>
      </w:pPr>
      <w:r>
        <w:rPr>
          <w:rFonts w:ascii="Times New Roman;sans-serif" w:hAnsi="Times New Roman;sans-serif"/>
          <w:b w:val="false"/>
          <w:i/>
          <w:color w:val="000000"/>
          <w:sz w:val="20"/>
        </w:rPr>
        <w:t>Regulation NMS and Options Intermarket Linkage Plan.</w:t>
      </w:r>
      <w:r>
        <w:rPr>
          <w:color w:val="000000"/>
        </w:rPr>
        <w:t xml:space="preserve"> </w:t>
      </w:r>
      <w:r>
        <w:rPr>
          <w:rFonts w:ascii="Times New Roman;sans-serif" w:hAnsi="Times New Roman;sans-serif"/>
          <w:b w:val="false"/>
          <w:color w:val="000000"/>
          <w:sz w:val="20"/>
        </w:rPr>
        <w:t>We are subject to Regulation NMS for our cash equity markets, and our options markets have joined the Options Intermarket Linkage Plan. These are designed to facilitate the routing of orders among exchanges to create a national market system as mandated by the Exchange Act. One of the principal purposes of a national market system is to ensure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Regulation NMS requires that every national securities exchange on which an NMS stock is traded and every national securities association act jointly pursuant to one or more national market system plans to disseminate consolidated information, including a national best bid and national best offer, on quotations for transactions in NMS stocks, and that such plan or plans provide for the dissemination of all consolidated information for an individual NMS stock through a single plan processor.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rPr>
        <w:t>The UTP Plan was filed with and approved by the SEC as a national market system plan in accordance with the Exchange Act and Regulation NMS to provide for the collection,</w:t>
      </w:r>
      <w:r>
        <w:rPr>
          <w:color w:val="000000"/>
        </w:rPr>
        <w:t xml:space="preserve"> </w:t>
      </w:r>
      <w:r>
        <w:rPr>
          <w:rFonts w:ascii="Times New Roman;sans-serif" w:hAnsi="Times New Roman;sans-serif"/>
          <w:b w:val="false"/>
          <w:color w:val="000000"/>
          <w:sz w:val="20"/>
        </w:rPr>
        <w:t>consolidation and dissemination of such information for Nasdaq-listed securities. The Nasdaq Stock Market serves as the processor for the UTP Plan pursuant to a contract for a two-year term through October 2025. The Nasdaq Stock Market also serves as the administrator for the UTP Plan. To fulfill its obligations as the processor, The Nasdaq Stock Market has designed, implemented, maintained, and operated a data processing and communications system, hardware, software and communications infrastructure to provide processing for the UTP Plan. As the administrator, The Nasdaq Stock Market manages the distribution of market data, the collection of the resulting market data revenue, and the dissemination of that revenue to plan members in accordance with the terms of the UTP Plan and of Regulation NMS.</w:t>
      </w:r>
    </w:p>
    <w:p>
      <w:pPr>
        <w:pStyle w:val="TextBody"/>
        <w:bidi w:val="0"/>
        <w:spacing w:lineRule="auto" w:line="288" w:before="120" w:after="283"/>
        <w:jc w:val="both"/>
        <w:rPr/>
      </w:pPr>
      <w:r>
        <w:rPr>
          <w:rFonts w:ascii="Times New Roman;sans-serif" w:hAnsi="Times New Roman;sans-serif"/>
          <w:b w:val="false"/>
          <w:i/>
          <w:color w:val="000000"/>
          <w:sz w:val="20"/>
        </w:rPr>
        <w:t>Regulation SCI.</w:t>
      </w:r>
      <w:r>
        <w:rPr>
          <w:color w:val="000000"/>
        </w:rPr>
        <w:t xml:space="preserve"> </w:t>
      </w:r>
      <w:r>
        <w:rPr>
          <w:rFonts w:ascii="Times New Roman;sans-serif" w:hAnsi="Times New Roman;sans-serif"/>
          <w:b w:val="false"/>
          <w:color w:val="000000"/>
          <w:sz w:val="20"/>
        </w:rPr>
        <w:t>Regulation SCI is a set of rules designed to strengthen the technology infrastructure of the U.S. securities markets. Regulation SCI applies to national securities exchanges, operators of certain ATSs, market data information providers and clearing agencies, subjecting these entities to extensive compliance obligations, with the goals of reducing the occurrence of technical issues that disrupt the securities markets and improving recovery time when disruptions occur.</w:t>
      </w:r>
      <w:r>
        <w:rPr>
          <w:color w:val="000000"/>
        </w:rPr>
        <w:t xml:space="preserve"> </w:t>
      </w:r>
      <w:r>
        <w:rPr>
          <w:rFonts w:ascii="Times New Roman;sans-serif" w:hAnsi="Times New Roman;sans-serif"/>
          <w:b w:val="false"/>
          <w:color w:val="000000"/>
          <w:sz w:val="20"/>
        </w:rPr>
        <w:t>We implemented an inter-disciplinary program to ensure compliance with Regulation SCI. We have also created Regulation SCI policies and procedures, updated internal policies and procedures, and developed an information technology governance program to ensure compliance.</w:t>
      </w:r>
    </w:p>
    <w:p>
      <w:pPr>
        <w:pStyle w:val="TextBody"/>
        <w:bidi w:val="0"/>
        <w:spacing w:lineRule="auto" w:line="288" w:before="120" w:after="283"/>
        <w:jc w:val="both"/>
        <w:rPr/>
      </w:pPr>
      <w:r>
        <w:rPr>
          <w:rFonts w:ascii="Times New Roman;sans-serif" w:hAnsi="Times New Roman;sans-serif"/>
          <w:b w:val="false"/>
          <w:i/>
          <w:color w:val="000000"/>
          <w:sz w:val="20"/>
        </w:rPr>
        <w:t>Regulation of Registered Investment Advisor Subsidiary.</w:t>
      </w:r>
      <w:r>
        <w:rPr>
          <w:color w:val="000000"/>
        </w:rPr>
        <w:t xml:space="preserve"> </w:t>
      </w:r>
      <w:r>
        <w:rPr>
          <w:rFonts w:ascii="Times New Roman;sans-serif" w:hAnsi="Times New Roman;sans-serif"/>
          <w:b w:val="false"/>
          <w:color w:val="000000"/>
          <w:sz w:val="20"/>
        </w:rPr>
        <w:t>Our subsidiary Nasdaq Dorsey Wright, or NDW, is an investment advisor registered with the SEC under the Investment Advisors Act of 1940. In this capacity, NDW is subject to oversight and inspections by the SEC. Among other things, registered investment advisors like NDW must comply with certain disclosure obligations, advertising and fee restrictions and requirements relating to client suitability and custody of funds and securities. Registered investment advisors are also subject to anti-fraud provisions under both federal and state law.</w:t>
      </w:r>
    </w:p>
    <w:p>
      <w:pPr>
        <w:pStyle w:val="TextBody"/>
        <w:bidi w:val="0"/>
        <w:spacing w:lineRule="auto" w:line="288" w:before="120" w:after="283"/>
        <w:jc w:val="both"/>
        <w:rPr/>
      </w:pPr>
      <w:r>
        <w:rPr>
          <w:rFonts w:ascii="Times New Roman;sans-serif" w:hAnsi="Times New Roman;sans-serif"/>
          <w:b w:val="false"/>
          <w:i/>
          <w:color w:val="000000"/>
          <w:sz w:val="20"/>
        </w:rPr>
        <w:t xml:space="preserve">CFTC Regulation. </w:t>
      </w:r>
      <w:r>
        <w:rPr>
          <w:rFonts w:ascii="Times New Roman;sans-serif" w:hAnsi="Times New Roman;sans-serif"/>
          <w:b w:val="false"/>
          <w:color w:val="000000"/>
          <w:sz w:val="20"/>
        </w:rPr>
        <w:t>The Dodd-Frank Wall Street Reform and Consumer Protection Act resulted in increased CFTC regulation of our use of certain regulated derivatives products, as well as the operations of some of our subsidiaries outside the U.S. and their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Canadian 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 of Nasdaq Canada is performed by the Canadian Securities Administrators, an umbrella organization of Canada’s provincial and territorial securities regulators. As a recognized exchange in Ontario, Nasdaq Canada must comply with the terms and conditions of its exchange recognition order. While exempt from exchange recognition in each jurisdiction in Canada other than Ontario where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Canada carries on business, Nasdaq must also comply with the terms and conditions of an exemption order granted by the other jurisdictions in order to maintain its exemptive status. Oversight of the exchange is performed by Nasdaq Canada’s lead regulator, the Ontario Securities Commission.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Canada is subject to several national marketplace related instruments which set out requirements for marketplace operations, trading rules and managing electronic trading risk. Exchange terms and conditions include but are not limited to, requirements for governance, regulation, rules and rulemaking, fair access, conflict management and financial viability.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European 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Regulation of our markets in the European Union and the European Economic Area focuses on matters relating to financial services, listing and trading of securities, clearing and settlement of securities and commodities, as well as issues related to market abuse.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MiFID II and MiFIR, the European Union’s Market Abuse Regulation, which primarily affects our European trading businesses. Many of the provisions of MiFID II and MiFIR are implemented through technical standards drafted by the European Securities and Markets Authority and approved by the European Commission. In addition, in 2016, the European Union adopted legislation on governance and control of the production and use of benchmark indices. The Benchmark Regulation became effective in the European Union beginning in 2018, and Nasdaq must comply beginning January 1, 2026 in relation to benchmarks provided by non-European Nasdaq entities as well as European Nasdaq entities. As the regulatory environment continues to evolve and related opportunities arise, we intend to continue developing our products and services to ensure that the exchanges and clearinghouse that comprise Nasdaq Nordic and Nasdaq Baltic maintain favorable liquidity and offer fair and efficient trading.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proposed rules under MiFID II and MiFIR rules include provisions potentially impacting various parts of Nasdaq’s exchanges and data business, including a proposal to establish a European consolidated tape of pre- and/or post-trade data.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entities that operate trading venues in the Nordic and Baltic countries are each subject to local regulations. As a result, we have a strong local presence in each jurisdiction in which we operate regulated businesses. The regulated entities have decision-making power and can adopt policies and procedures and retain resources to manage all operations subject to their license. In Sweden, general supervision of the Nasdaq Stockholm exchange is carried out by the SFSA, while Nasdaq Clearing’s role as CCP in the clearing of derivatives is supervised by the SFSA and overseen by the Swedish central bank (Riksbanken). Additionally, as a function of the Swedish two-tier supervisory model, certain surveillance of the exchange market is carried out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Stockholm exchange, through its surveillance function.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Stockholm’s exchange activities are regulated primarily by the SSMA, which implements MiFID II into Swedish law and which sets up basic requirements for the board of directors of the exchange and the exchange’s share capital, and which also outlines the conditions on which exchange licenses are issued. The SSMA also provides that any changes to the exchange’s articles of association following initial registration must be approved by the SFSA. Nasdaq Clearing holds the license as a CCP under EMIR.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prompt,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EMIR in relation to clearing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underlying EU regulation, the regulatory requirements in the other Nordic and Baltic countries in which a Nasdaq entity has a trading venue are similar to the requirements in Sweden described above. The supervisory authorities in Sweden, Iceland, Denmark, Finland and Norway all cooperate to safeguard effective and comprehensive supervision of the exchanges comprising Nasdaq Nordic and the systems operated by it, and to ensure a common supervisory approach.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owns a central securities depository known as Nasdaq CSD SE (Societas Europaea)¸ that provides notary, settlement, central maintenance and other services in the Baltic countries and in Iceland. Nasdaq CSD SE is licensed under the European Central Securities Depositories Regulation and is supervised by the respective regulatory institutions.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 licensed exchange, Nasdaq Oslo ASA, in Norway that trades and lists commodity derivatives. Although Norway is not a member of the EU, as a result of the European Economic Area, or EEA, agreement (entered into between the EU and European Free Trade Association) the regulatory environment is broadly similar to what applies in EU member states. Since Norway has adopted legislation mirroring the provisions of MiFID II and MIFIR, the regulatory environment in Norway is similar to Sweden. The Financial Supervisory Authority of Norway supervises the Norwegian exchange on an autonomous basis and the Norwegian exchange also has a separate market surveillance function overseen by the Financial Supervisory Authority.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Confidence in capital markets is paramount for trading to function properly. Nasdaq Nordic carries out market surveillance through an independent unit that is separate from the business operations. The surveillance work is conceptually organized into two functions: one for the review and admission of listing applications and surveillance activities related to issuers (issuer surveillance) and one for surveillance of trading (trading surveillance). The real-time trading surveillance for the Finnish, Icelandic, Danish and Swedish markets has been centralized in Stockholm. In addition, there are designated personnel who carry out surveillance activities at Nasdaq Oslo and the three Baltic exchanges. In Finland, Sweden and Estonia, decisions to list new companies on the main market are made by listing committees that have external members in addition to members from each respective exchange and in the other countries the decision is made either by the respective president of the exchange or by the executive board.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there is suspicion that a listed company or member has acted in breach of exchange regulations, the matter is handled by the respective surveillance department. Serious breaches are considered by the respective disciplinary committee in Denmark, Finland, Iceland, Sweden and Norway. Suspected insider trading is reported to the appropriate authorities in the respective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Kingdom, The Nasdaq Stock Market, Nasdaq Oslo ASA, Nasdaq Stockholm AB, Nasdaq Copenhagen A/S, and Nasdaq Helsinki Ltd are each subject to regulation by the Financial Conduct Authority as “Recognised Overseas Investment Exchanges.” Nasdaq Clearing is registered as a recognized third country CCP with the Bank of England under the temporary recognition regime. The registration became effective on December 31, 2020 and lasts until December 31, 2026 (which may be extended further), during which time Nasdaq Clearing may continue to act as a CCP vis-a-vis UK members. Nasdaq Clearing has submitted its application for permanent recognition and is awaiting further information as to the process and timeline from the Bank of England.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has continued to strengthen our commitment to, and investment in, attracting, retaining, developing and motivating our employees during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continued our efforts to create an inclusive work environment of equal opportunity, where employees feel respected and valued for their contributions, and where Nasdaq and its employees have opportunities to make positive contributions to our local communities.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our human capital management matters can be found in our annual Sustainability Report, which will be available on our website later in 2025. Our Sustainability Report and other information on our website are not incorporated by reference into this Annual Report on Form 10-K.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Nasdaq had 9,162 full and part-time employees, including employees of non-wholly owned consolidated subsidiaries.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Flexible and Hybrid Workplace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COVID pandemic, we re-shaped our expectations of the work environment. Most of our employees balance their time between several days in the office and several days working from home, contributing to a positive work-life balance. In addition to vacation time, we provide every employee six paid “flex” days per year, to be used as extra vacation days for mental health, family time, or any other purpose. We have found this flexibility has contributed both to our high engagement scores among current employees, as well as a positive element in attracting new talent to join Nasdaq.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Talent Management and Development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continued to increase our efforts in attracting and retaining our employees. Nasdaq seeks to hire world-class and innovative talent across the globe.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our internal employee engagement score, based on our biannual employee engagement surveys, which most recently had a 94% participation rate, reached its record high rating of 80% favorable, with 14% neutral, placing us in the top 10% of tech companies, according to our survey provider. Our workforce voluntary attrition rate during 2024 was approximately 6.7%, which was nearly one percentage point lower than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we continued a series called the Manager Forum, facilitated by our CEO and other senior and mid-career leaders, to engage managers in sustained leadership development, alongside our existing formal leadership development curriculum.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AI-driven career development platform, the Career Hub, matches employees, based on their career aspirations, to internal training, potential mentors, short-term projects and full-time internal roles. This helped us again increase our career satisfaction scores in our biannual employee engagement survey and supported employee retention.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invested in professional development for our employees, including offering access to professional development programs; providing tuition assistance to employees enrolled in degree-granting academic programs; holding internal career fairs and career development programs; connecting employees to our formal mentoring programs and providing one-on-one professional coaching opportunities. Our 2024 AI training initiative saw 98% of the firm participating in at least one program to bolster their AI knowledge and skills.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reward our employees at various stages of their tenure with Nasdaq, we continued our anniversary recognition program that includes Nasdaq-branded merchandise, and, for major milestones, recognition on our Nasdaq Tower in Times Square. Additionally, our peer-to-peer employee recognition program rewards employees and highlights recognized employees on our internal social media channels, further amplifying the recognition. In 2024, more than 18,600 peer-to-peer recognition awards were issued by employees to other employees across the organization.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 Culture of Inclusion</w:t>
      </w:r>
    </w:p>
    <w:p>
      <w:pPr>
        <w:pStyle w:val="TextBody"/>
        <w:bidi w:val="0"/>
        <w:spacing w:lineRule="auto" w:line="288" w:before="120" w:after="283"/>
        <w:jc w:val="both"/>
        <w:rPr/>
      </w:pPr>
      <w:r>
        <w:rPr>
          <w:rFonts w:ascii="Times New Roman;sans-serif" w:hAnsi="Times New Roman;sans-serif"/>
          <w:b w:val="false"/>
          <w:color w:val="000000"/>
          <w:sz w:val="20"/>
        </w:rPr>
        <w:t xml:space="preserve">At Nasdaq, three pillars guide our inclusion efforts: </w:t>
      </w:r>
      <w:r>
        <w:rPr>
          <w:rFonts w:ascii="Times New Roman;sans-serif" w:hAnsi="Times New Roman;sans-serif"/>
          <w:b w:val="false"/>
          <w:i/>
          <w:color w:val="000000"/>
          <w:sz w:val="20"/>
        </w:rPr>
        <w:t>Workforce, Workplace and Marketplace</w:t>
      </w:r>
      <w:r>
        <w:rPr>
          <w:rFonts w:ascii="Times New Roman;sans-serif" w:hAnsi="Times New Roman;sans-serif"/>
          <w:b w:val="false"/>
          <w:color w:val="000000"/>
          <w:sz w:val="20"/>
        </w:rPr>
        <w:t xml:space="preserve">.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Workforce </w:t>
      </w:r>
      <w:r>
        <w:rPr>
          <w:rFonts w:ascii="Times New Roman;sans-serif" w:hAnsi="Times New Roman;sans-serif"/>
          <w:b w:val="false"/>
          <w:color w:val="000000"/>
          <w:sz w:val="20"/>
        </w:rPr>
        <w:t>seeks to ensure that</w:t>
      </w:r>
      <w:r>
        <w:rPr>
          <w:color w:val="000000"/>
        </w:rPr>
        <w:t xml:space="preserve"> </w:t>
      </w:r>
      <w:r>
        <w:rPr>
          <w:rFonts w:ascii="Times New Roman;sans-serif" w:hAnsi="Times New Roman;sans-serif"/>
          <w:b w:val="false"/>
          <w:color w:val="000000"/>
          <w:sz w:val="20"/>
        </w:rPr>
        <w:t xml:space="preserve">our employee population is representative of the communities in which we operate.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Workplace</w:t>
      </w:r>
      <w:r>
        <w:rPr>
          <w:color w:val="000000"/>
        </w:rPr>
        <w:t xml:space="preserve"> </w:t>
      </w:r>
      <w:r>
        <w:rPr>
          <w:rFonts w:ascii="Times New Roman;sans-serif" w:hAnsi="Times New Roman;sans-serif"/>
          <w:b w:val="false"/>
          <w:color w:val="000000"/>
          <w:sz w:val="20"/>
        </w:rPr>
        <w:t xml:space="preserve">seeks to create a positive, equitable workplace experience for all employees of Nasdaq.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Marketplace </w:t>
      </w:r>
      <w:r>
        <w:rPr>
          <w:rFonts w:ascii="Times New Roman;sans-serif" w:hAnsi="Times New Roman;sans-serif"/>
          <w:b w:val="false"/>
          <w:color w:val="000000"/>
          <w:sz w:val="20"/>
        </w:rPr>
        <w:t>aims to positively influence our peers in the capital market ecosystem and invest in the local communities where we operate.</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Workplace Demographics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global female employee base in 2024 was approximately 36%. Our minority representation in the U.S., which includes Asian, Black/African American, Hispanic/Latino, Multiracial, Native American, Native Hawaiian, and Pacific Islander employees, was 33% in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Gender and Ethnicity Data as of December 31, 2024 and 2023 are presented below:</w:t>
      </w:r>
    </w:p>
    <w:p>
      <w:pPr>
        <w:pStyle w:val="TextBody"/>
        <w:bidi w:val="0"/>
        <w:spacing w:lineRule="auto" w:line="288" w:before="60" w:after="283"/>
        <w:jc w:val="both"/>
        <w:rPr/>
      </w:pPr>
      <w:r>
        <w:rPr/>
        <w:drawing>
          <wp:inline distT="0" distB="0" distL="0" distR="0">
            <wp:extent cx="2667000" cy="2952750"/>
            <wp:effectExtent l="0" t="0" r="0" b="0"/>
            <wp:docPr id="2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 descr=""/>
                    <pic:cNvPicPr>
                      <a:picLocks noChangeAspect="1" noChangeArrowheads="1"/>
                    </pic:cNvPicPr>
                  </pic:nvPicPr>
                  <pic:blipFill>
                    <a:blip r:embed="rId2"/>
                    <a:stretch>
                      <a:fillRect/>
                    </a:stretch>
                  </pic:blipFill>
                  <pic:spPr bwMode="auto">
                    <a:xfrm>
                      <a:off x="0" y="0"/>
                      <a:ext cx="2667000" cy="2952750"/>
                    </a:xfrm>
                    <a:prstGeom prst="rect">
                      <a:avLst/>
                    </a:prstGeom>
                  </pic:spPr>
                </pic:pic>
              </a:graphicData>
            </a:graphic>
          </wp:inline>
        </w:drawing>
      </w:r>
      <w:r>
        <w:rPr>
          <w:color w:val="000000"/>
        </w:rPr>
        <w:t xml:space="preserve"> </w:t>
      </w:r>
    </w:p>
    <w:p>
      <w:pPr>
        <w:pStyle w:val="TextBody"/>
        <w:bidi w:val="0"/>
        <w:spacing w:before="120" w:after="283"/>
        <w:jc w:val="both"/>
        <w:rPr/>
      </w:pPr>
      <w:r>
        <w:rPr/>
        <w:drawing>
          <wp:inline distT="0" distB="0" distL="0" distR="0">
            <wp:extent cx="2667000" cy="2952750"/>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2667000" cy="2952750"/>
                    </a:xfrm>
                    <a:prstGeom prst="rect">
                      <a:avLst/>
                    </a:prstGeom>
                  </pic:spPr>
                </pic:pic>
              </a:graphicData>
            </a:graphic>
          </wp:inline>
        </w:drawing>
      </w:r>
    </w:p>
    <w:p>
      <w:pPr>
        <w:pStyle w:val="TextBody"/>
        <w:bidi w:val="0"/>
        <w:spacing w:before="60" w:after="283"/>
        <w:jc w:val="both"/>
        <w:rPr/>
      </w:pPr>
      <w:r>
        <w:rPr/>
        <w:drawing>
          <wp:inline distT="0" distB="0" distL="0" distR="0">
            <wp:extent cx="3095625" cy="323850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3095625" cy="3238500"/>
                    </a:xfrm>
                    <a:prstGeom prst="rect">
                      <a:avLst/>
                    </a:prstGeom>
                  </pic:spPr>
                </pic:pic>
              </a:graphicData>
            </a:graphic>
          </wp:inline>
        </w:drawing>
      </w:r>
    </w:p>
    <w:p>
      <w:pPr>
        <w:pStyle w:val="TextBody"/>
        <w:bidi w:val="0"/>
        <w:spacing w:before="60" w:after="283"/>
        <w:jc w:val="both"/>
        <w:rPr/>
      </w:pPr>
      <w:r>
        <w:rPr/>
        <w:drawing>
          <wp:inline distT="0" distB="0" distL="0" distR="0">
            <wp:extent cx="3095625" cy="323850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3095625" cy="3238500"/>
                    </a:xfrm>
                    <a:prstGeom prst="rect">
                      <a:avLst/>
                    </a:prstGeom>
                  </pic:spPr>
                </pic:pic>
              </a:graphicData>
            </a:graphic>
          </wp:inline>
        </w:drawing>
      </w:r>
    </w:p>
    <w:p>
      <w:pPr>
        <w:pStyle w:val="TextBody"/>
        <w:bidi w:val="0"/>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In the charts above, the "not disclosed" percentage includes employees that have chosen not to disclose and race and ethnicities that are less than 0.3% of our total employee headcount.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Compensation and Benefits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Total Rewards program is designed to attract, retain, and empower employees to successfully execute our growth strategy and our mission to better serve our clients. Our comprehensive Total Rewards program reflects our commitment to protecting our employees’ health, well-being and financial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rPr>
        <w:t>Our pay-for-performance compensation programs includes market-competitive base salaries, annual bonuses or sales commissions, and equity grants.</w:t>
      </w:r>
      <w:r>
        <w:rPr>
          <w:color w:val="000000"/>
        </w:rPr>
        <w:t xml:space="preserve"> </w:t>
      </w:r>
      <w:r>
        <w:rPr>
          <w:rFonts w:ascii="Times New Roman;sans-serif" w:hAnsi="Times New Roman;sans-serif"/>
          <w:b w:val="false"/>
          <w:color w:val="000000"/>
          <w:sz w:val="20"/>
        </w:rPr>
        <w:t>The majority of our employees are granted annual, long-term equity awards, enabling them to be owners of the company, committed to our long-term success and aligning their interests with the short-term and long-term interests of our shareholders.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Beyond compensation, we offer a suite of programs, benefits, perquisites, and resources. Our core benefits include health (medical, dental, and vision) and risk insurances (life and disability), retirement plans, and an employee stock purchase plan. We also offer robust paid time-off benefits which include vacation, incidental sick days and parental leave. In addition, all Nasdaq employees, regardless of their location in any of our global offices, are offered paid time off for key life events such as bereavement leave and volunteer days. Our North American employees continue to have access to our flexible time off policy. These programs, coupled with our hybrid work schedules, are designed to meet the various needs of our workforce.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we continued to build awareness of our wellness programs and increase support to our employees through on-site and virtual events such as Wellness Week and World Mental Health Day. Wellness Week included six virtual webinars for U.S. employees to learn about the scope of wellness benefits offered. World Mental Health Day was a month-long campaign where managers and employees could participate in webinars to learn about mental health in the workplace. The benefits team also started “well-being moments,” which are monthly reminders shared in employee newsletters and town hall meetings to improve the physical, mental and financial health of our employees in their personal and professional life.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Community Involvement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Nasdaq’s “Purpose” initiative comprises our philanthropic, community outreach, entrepreneurial support and employee volunteerism programs, all designed to leverage our unique place at the center of capital creation, markets, and technology and drive stronger economies, more equitable opportunities and contribute to a more sustainable world.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Nasdaq GoodWorks Corporate Responsibility Program, we have committed to supporting the communities in which we live and work by providing eligible full and part-time employees with two paid days off per year to volunteer. We also match charitable donations of all Nasdaq employees and contractors up to $1,000, or more in certain circumstances, per calendar year. In 2024, Nasdaq employees raised over $550,000, including donations and matches, supporting more than 800 charities worldwide.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Nasdaq held its fourth annual Purpose Week, a week dedicated to celebrating and advancing economic progress for all. Throughout Purpose Week, we hosted employees from around the world for panels and workshops highlighting our continued purpose of advancing economic progress for all. Employees participated in a variety of activities, including packing Thanksgiving food kits, preparing financial literacy guidebooks and building solar lights for communities affected by natural disasters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Nasdaq also hosted its second annual Purpose Forum in 2024, focusing on the theme “A Better Tomorrow: Built for Purpose.” The Purpose Forum convened thought leaders, change-makers, and innovators to discuss creating positive impact through embracing and adopting purpose-driven strategy, culture, and brand.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Nasdaq Foundation works with organizations that promote and support under-resourced communities by reimagining investor engagement and equipping communities with the financial knowledge needed to share in the wealth that markets create. During 2024, the Nasdaq Foundation provided grants to 23 organizations that share that mission. These grants were awarded to, among others: The Legal Aid Society, which provides through its Community Development Project legal trainings and technical assistance to small businesses in New York City; Future Founders, which empowers entrepreneurs ages 18-30 to launch and grow their own businesses; and World Services for the Blind, in collaboration with Penny Forward, which will create the first investing courses specifically designed for people who are blind or have low 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NASDAQ WEBSITE AND AVAILABILITY OF SEC FILINGS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file periodic reports, proxy statements and other information with the SEC. The SEC maintains a website that contains reports, proxy and information statements, and other information regarding issuers that file electronically with the SEC. The address of that site is www.sec.gov.</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is ir.nasdaq.com. Information on our website is not a part of this Form 10-K. We make available free of charge on our website, or provide a link to our SEC filings, including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our website and click on “Financials” then click on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20" w:after="283"/>
        <w:jc w:val="both"/>
        <w:rPr>
          <w:rFonts w:ascii="Times New Roman;sans-serif" w:hAnsi="Times New Roman;sans-serif"/>
          <w:b/>
          <w:color w:val="0092BC"/>
          <w:sz w:val="20"/>
        </w:rPr>
      </w:pPr>
      <w:r>
        <w:rPr>
          <w:rFonts w:ascii="Times New Roman;sans-serif" w:hAnsi="Times New Roman;sans-serif"/>
          <w:b/>
          <w:color w:val="0092BC"/>
          <w:sz w:val="20"/>
        </w:rPr>
        <w:t>Item 1A. Risk Factors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Economic conditions and market factors, which are beyond our control, may adversely affect our business and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performance is impacted by a number of factors, including general economic conditions, current or expected inflation, interest rate fluctuations, market volatility, changes in investment patterns and priorities, regulatory shifts, pandemics and other factors that are generally beyond our control. To the extent that global or national economic conditions weaken and result in slower growth or recessions, our business may be negatively impacted. Adverse market conditions could reduce customer demand for our services and the ability of our customers, lenders and other counterparties to meet their obligations to us. Poor economic conditions may result in a reduction in the demand for our products and services, including data, indices and corporate solutions, or could result in a decline in the number of IPOs, reduced trading volumes or values and deterioration of the economic welfare of our listed companies, which could cause an increase in delistings. The demand for our Regulatory Technology, Capital Markets Technology and Financial Crime Management Technology offerings are primarily influenced by regulatory changes and the financial strength and growth plans of our clients at any given time, and such demand may be adversely affected by economic, political and geopolitical market conditions.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Trading volumes and values are driven primarily by general market conditions and declines in trading volumes or values may affect our market share and impact our pricing. In addition, our Market Services businesses receive revenues from a relatively small number of customers concentrated in the financial industry, so any event that impacts one or more customers or the financial industry in general could impact our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 or reduce the number of issuers launching IPOs, including SPACs, and direct listings. While the number of IPOs on our exchanges increased in 2024 as compared to 2023, there is no assurance that demand for IPOs will continue at the same or higher rate.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Access Platforms segment may be significantly affected by global economic conditions. Professional subscriptions to our data products are at risk if staff reductions occur in financial services companies or if our customers consolidate, which could result in significant reductions in our professional user revenue or expose us to increased risks relating to dependence on a smaller number of customers. In addition, adverse market conditions may cause reductions in the number of non-professional investors with investments in the market and in ETP AUM tracking Nasdaq indices as well as trading in futures linked to Nasdaq indices.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less demand for our analytics, corporate solutions, market technology and risk and regulatory products and services if global economic conditions weaken. Our customers historically reduce purchases of new services and technology when growth rates decline, thereby diminishing our opportunities to sell new products and services or upgrade existing products and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during a global economic downturn, or periods of economic, political or regulatory uncertainty, our sales cycle may become longer or more unpredictable due to customer budget constraints or unplanned administrative delays to approve purchases.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reduction in trading volumes or values, market share of trading, the number of our listed companies, or demand for our products and services due to economic conditions or other market factors could adversely affect our business, financial condition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industries we operate in are highly competitive.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significant competition in our Capital Access Platforms, Financial Technology and Market Services segments from other market participants. We face intense competition from other exchanges and markets for market share of trading activity and listings. This competition includes both product and price competition.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Marketplaces in both U.S. and Europe have also merged to achieve greater economies of scale and scope.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changes also have facilitated the entry of new participants in the European Union that compete with our European markets.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compete globally with other regulated exchanges and markets, ATSs, MTFs and other traditional and non-traditional execution venues. Some of these competitors also are our customers. Competitors may develop market trading platforms that are more competitive than ours. Competitors may leverage data more effectively or enter into strategic partnerships, mergers or acquisitions that could make their trading, listings, clearing, data or technology businesses more competitive than ours.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intense price competition in all areas of our business. In particular, the trading industry is characterized by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and new entrants, or due to new SEC regulations, which could adversely impact operating results. We also compete with respect to the pricing of data products and with respect to products for pre-trade book data and for post-trade last sale data.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compete successfully in the industries in which we do business, our business, financial condition and operating results will be adversely affected.</w:t>
      </w:r>
    </w:p>
    <w:p>
      <w:pPr>
        <w:pStyle w:val="TextBody"/>
        <w:bidi w:val="0"/>
        <w:spacing w:lineRule="auto" w:line="288" w:before="120" w:after="283"/>
        <w:jc w:val="both"/>
        <w:rPr/>
      </w:pPr>
      <w:r>
        <w:rPr>
          <w:rFonts w:ascii="Times New Roman;sans-serif" w:hAnsi="Times New Roman;sans-serif"/>
          <w:b/>
          <w:i/>
          <w:color w:val="000000"/>
          <w:sz w:val="20"/>
        </w:rPr>
        <w:t>System limitations or failures</w:t>
      </w:r>
      <w:r>
        <w:rPr>
          <w:color w:val="000000"/>
        </w:rPr>
        <w:t xml:space="preserve"> </w:t>
      </w:r>
      <w:r>
        <w:rPr>
          <w:rFonts w:ascii="Times New Roman;sans-serif" w:hAnsi="Times New Roman;sans-serif"/>
          <w:b/>
          <w:i/>
          <w:color w:val="000000"/>
          <w:sz w:val="20"/>
        </w:rPr>
        <w:t>could harm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depend on the integrity and performance of the technology, computer and communications systems supporting them. If new systems fail to operate as intended or our existing systems cannot expand to cope with increased demand or otherwise fail to perform, we could experience unanticipated disruptions in service, slower response times and delays in the introduction of new products and services. We could experience a systems failure due to human error by our employees, contractors or vendors, electrical or telecommunications failures or disruptions, hardware or software failures or defects, cyberattacks, sabotage or similar unexpected events. These consequences could result in service outages, lower trading volumes or values, financial losses, decreased customer satisfaction, litigation and regulatory sanctions. Our markets and the markets that rely on our technology have experienced system failures and delays in the past and we could experience future system failures and delays.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currently maintain and expect to maintain multiple computer facilities, and leverage third party cloud providers, that are designed to provide redundancy and back-up to reduce the risk of system disruptions and have facilities in place that are expected to maintain service during a system disruption, such systems and facilities may prove inadequate. If trading volumes increase unexpectedly or other unanticipated events occur, we may need to expand and upgrade our technology, transaction processing systems and network infrastructure. We do not know whether we will be able to accurately project the rate, timing or cost of any volume increases, or expand and upgrade our systems and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infrastructure to accommodate any increases in a timely manner.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must continue to introduce new products, initiatives and enhancements to maintain our competitive position.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launch new products and initiatives and continue to explore and pursue opportunities to strengthen our business and grow our company. We may spend substantial time and money developing new products, initiatives and enhancements to existing products. If these products and initiatives are not successful or their launches are delayed, we may not be able to offset their costs, which could have an adverse effect on our business, financial condition and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our technology operations, we have invested substantial amounts in the development of system platforms, the rollout of our platforms and the adoption of new technologies, including cloud-based infrastructure and AI for certain of our offerings. Although investments are carefully planned, there can be no assurance that the demand for such platforms or technologies will justify the related investments. If we fail to generate adequate revenue from planned system platforms or the adoption of new technologies, or if we fail to do so within the envisioned timeframe, it could have an adverse effect on our results of operations and financial condition. In addition, clients may delay purchases in anticipation of new products or enhancements. We may allocate significant amounts of cash and other resources to product technologies or business models for which market demand is lower than anticipated. In addition, the introduction of new products by competitors, the emergence of new industry standards or the development of entirely new technologies to replace existing product offerings could render our existing or future products obsolete.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 decline in trading and clearing volumes or values or market share will decrease our trading and clearing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Trading and clearing volumes and values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Over the past several years, trading and clearing volumes and values across our markets have fluctuated significantly depending on market conditions and other factors beyond our control. Because a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percentage of our revenues is tied directly to the volume or value of securities traded and cleared on our markets, it is likely that a general decline in trading and clearing volumes or values would lower revenues and may adversely affect our operating results if we are unable to offset falling volumes or values through pricing changes. Declines in trading and clearing volumes or values may also impact our market share or pricing structures and adversely affect our business and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total market share in securities decreases relative to our competitors, our venues may be viewed as less attractive sources of liquidity. If our exchanges are perceived to be less liquid, then our business, financial condition and operating results could be adversely affected.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some of our exchanges offer clearing services in addition to trading services, a decline in market share of trading could lead to a decline in clearing and depository revenues. Declines in market share also could result in issuers viewing the value of a listing on our exchanges as less attractive, thereby adversely affecting our listing business. Finally, declines in market share of Nasdaq-listed securities, or recently adopted SEC rules and regulations, could lower The Nasdaq Stock Market’s share of tape pool revenues under the consolidated data plans, thereby reducing the revenues of our U.S. Tape plans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role in the global marketplace positions us at greater risk for a cyberattack.</w:t>
      </w:r>
    </w:p>
    <w:p>
      <w:pPr>
        <w:pStyle w:val="TextBody"/>
        <w:bidi w:val="0"/>
        <w:spacing w:lineRule="auto" w:line="288" w:before="120" w:after="283"/>
        <w:jc w:val="both"/>
        <w:rPr/>
      </w:pPr>
      <w:r>
        <w:rPr>
          <w:rFonts w:ascii="Times New Roman;sans-serif" w:hAnsi="Times New Roman;sans-serif"/>
          <w:b w:val="false"/>
          <w:color w:val="000000"/>
          <w:sz w:val="20"/>
        </w:rPr>
        <w:t>Our systems and operations are vulnerable to damage, misappropriation or disruption from security breaches. Some of these threats include attacks from foreign governments, hacktivists, insiders and criminal organizations. Foreign governments may seek to obtain a foothold in U.S. critical infrastructure, hacktivists may</w:t>
      </w:r>
      <w:r>
        <w:rPr>
          <w:color w:val="000000"/>
        </w:rPr>
        <w:t xml:space="preserve"> </w:t>
      </w:r>
      <w:r>
        <w:rPr>
          <w:rFonts w:ascii="Times New Roman;sans-serif" w:hAnsi="Times New Roman;sans-serif"/>
          <w:b w:val="false"/>
          <w:color w:val="000000"/>
          <w:sz w:val="20"/>
        </w:rPr>
        <w:t>seek to deploy denial of service attacks to bring attention to their cause, insiders may pose a risk of human error or malicious activity and criminal organizations may seek to profit by gaining control of company systems or accounts or from stolen data via ransomware or other means, such as social engineering, including deepfake scams, compromised business email or other methods. Our hybrid work model and our global footprint elevate cybersecurity and operational risks, particularly in geographies with adversary nation-states and/or unreliable law enforcement. Given our position in the global securities industry, we may be more likely than other companies to be a direct target, or an indirect casualty, of such events.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employ and invest resources to monitor our systems and protect our infrastructure, these measures may prove insufficient due to the continuously evolving nature of threat activity. Any system issue, whether as a result of an intentional breach, collateral damage from a cybersecurity incident involving our supply chain vendors, a negligent or malicious act by an insider, or the use of AI by bad actors, including the use of such tools to engage in social engineering or similar activities, or due to a cybersecurity breach of a customer that results in a loss of our data or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compromises our systems or those of our other customers utilizing the same products, could damage our reputation and result in: a loss of customers; disrupted customer relationships; the loss of our intellectual property or sensitive data; lower trading volumes or values, significant liabilities, litigation or regulatory fines; or otherwise have a negative impact on our business, our products and services, financial condition and operating results. There can be no assurance we will be able to identify and mitigate every incident involving cybersecurity attacks, breaches or incidents. A system breach may go undetected for an extended period of time.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Expanded cybersecurity regulations, and increased cybersecurity infrastructure and compliance costs, may adversely impact our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cybersecurity threats continue to increase in frequency and sophistication, and as the domestic and international regulatory and compliance structure related to information, cybersecurity, data privacy, resiliency and data usage becomes increasingly complex and exacting, we may be required to devote significant additional resources to strengthen our cybersecurity capabilities, and to identify and remediate any security vulnerabilities. Compliance with laws and regulations concerning cybersecurity, data privacy, resiliency and data usage could result in significant expense, and any failure to comply could result in proceedings against us by regulatory authorities or other third parties. Costs for bolstering cybersecurity capabilities, and increased cybersecurity and data privacy compliance costs, could adversely impact our business, financial condition and operating results. Additionally, our clients increasingly demand rigorous contractual, certification and audit provisions regarding cybersecurity, data protection and data usage, which may also increase our overall compliance burden and costs in meeting such obligations.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success of our business depends on our ability to keep up with rapid technological and other competitive changes affecting our industry. Specifically, we must complete development of, successfully implement and maintain platforms that have the functionality, performance, capacity, reliability and speed required by our business and our regulators, as well as by our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in which we compete are characterized by rapidly changing technology, evolving industry and regulatory standards, frequent enhancements to existing products and services, the adoption of new services and products and changing customer demands. We are reliant on our customers that purchase our on-premises solutions to maintain a certain level of network infrastructure for our products to operate and to allow for our support of those products, and to secure our software and other proprietary materials stored in such systems, and there is no assurance that a customer will implement such measures. We may not be able to keep up with rapid technological and other competitive changes affecting our industry. For example, we must continue to enhance our platforms and, where relevant,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to remain competitive as well as to address our regulatory responsibilities, and our business will be negatively affected if our platforms or the technology solutions we sell to our customers fail to function as expected. If we are unable to develop our platforms to include other products and markets, or if our platforms do not have the required functionality, performance, capacity, reliability and speed required by our business and our regulators, as well as by our customers, we may not be able to compete successfully. Further, our failure to anticipate or respond adequately to changes in technology and customer preferences or any significant delays in product development efforts, could have a material adverse effect on our business, financial condition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AI initiatives under development and the use of AI in certain of our existing products may be unsuccessful and may give rise to various risks, which could adversely affect our business, reputation, or operating results. </w:t>
      </w:r>
    </w:p>
    <w:p>
      <w:pPr>
        <w:pStyle w:val="TextBody"/>
        <w:bidi w:val="0"/>
        <w:spacing w:lineRule="auto" w:line="288" w:before="120" w:after="283"/>
        <w:jc w:val="both"/>
        <w:rPr/>
      </w:pPr>
      <w:r>
        <w:rPr>
          <w:rFonts w:ascii="Times New Roman;sans-serif" w:hAnsi="Times New Roman;sans-serif"/>
          <w:b w:val="false"/>
          <w:color w:val="000000"/>
          <w:sz w:val="20"/>
        </w:rPr>
        <w:t>We have made, and are continuing to make, significant investments in AI including generative AI, to, among other things, develop new products or features for our existing products, including our anti-financial crime, equity trading, investor relations, sustainability and investment analytics solutions, and to enhance and refine our internal business operations.</w:t>
      </w:r>
      <w:r>
        <w:rPr>
          <w:color w:val="000000"/>
        </w:rPr>
        <w:t xml:space="preserve"> </w:t>
      </w:r>
      <w:r>
        <w:rPr>
          <w:rFonts w:ascii="Times New Roman;sans-serif" w:hAnsi="Times New Roman;sans-serif"/>
          <w:b w:val="false"/>
          <w:color w:val="000000"/>
          <w:sz w:val="20"/>
        </w:rPr>
        <w:t>As AI is a new and evolving technology in the early stages of commercial use, there are significant risks involved in the development and deployment of AI, and there can be no assurance that the use of AI will enhance our products or services or augment our business or operating results. Market acceptance of AI technologies is uncertain, and we may be unsuccessful in our product development efforts. Moreover, our AI-related product initiatives and offerings, or use in our internal business operations, may give rise to risks related to harmful content, accuracy, bias, discrimination, intellectual property infringement, the ability to obtain intellectual property protection, misappropriation or leakage of intellectual property, defamation, data privacy, and cybersecurity, among others. In addition, these risks include the possibility of the introduction of new or enhanced laws or regulations or novel enforcement of existing laws to uses of AI, for which compliance may be costly and burdensome or involve changes to our business practices or products, litigation or other legal liability, or additional oversight, audits or enforcement under existing laws or regulations.</w:t>
      </w:r>
      <w:r>
        <w:rPr>
          <w:color w:val="000000"/>
        </w:rPr>
        <w:t xml:space="preserve"> </w:t>
      </w:r>
      <w:r>
        <w:rPr>
          <w:rFonts w:ascii="Times New Roman;sans-serif" w:hAnsi="Times New Roman;sans-serif"/>
          <w:b w:val="false"/>
          <w:color w:val="000000"/>
          <w:sz w:val="20"/>
        </w:rPr>
        <w:t>The use of AI may also give rise to ethical concerns or negative public perceptions, which may cause brand or reputational harm. Additionally, our competitors may be developing their own AI products and technologies, which may be superior in features or functionality, or cost, to our offerings. Any of these factors could adversely affect our business, reputation, or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Failure to attract and retain key personnel may adversely affect our ability to conduct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large part, upon our ability to attract and retain highly qualified and skilled professional personnel that can learn and embrace new technologies. In the current tight labor market, we have intensified our efforts to recruit and retain talent. Competition for key personnel in the various localities and business segments in which we operate is intense. We have, and may continue to, experience higher compensation costs to retain personnel, and hire new talent, that may not be offset by improved productivity, higher revenues or increased sales. Our ability to attract and retain key personnel, in particular senior officers or technology personnel, including from companies that we acquire, will be dependent on a number of factors, including prevailing market conditions, office/remote working arrangements and compensation and benefit packages offered by companies competing for the same talent. There is no guarantee that we will have the continued service of key employees who we rely upon to execute our business strategy and identify and pursue strategic opportunities and initiatives. Our ability to execute our business strategy could be impaired if we are unable to replace such persons without incurring significant costs or in a timely manner or at all.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clearinghouse operations expose us to risks, including credit or liquidity risks that may include defaults by clearing members, or insufficiencies in margins or default funds.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relating to our operation of a clearinghouse, including counterparty and liquidity risks, risk of defaults by clearing members and risks associated with adequacy of the customer margin and of default funds. Our clearinghouse operations expose us to counterparties with differing risk profiles. We may be adversely impacted by the financial distress or failure of a clearing member, which may cause us negative financial impact, reputational harm or regulatory consequences, including litigation or regulatory enforcement actions.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credit risk from third parties, including customers, counterparties and clearing agents.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risk from third parties, including customers, counterparties and clearing agents. These parties may default on their obligations to us due to bankruptcy, lack of liquidity, operational failure or other reasons.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clear a range of equity-related and fixed-income-related derivative products, commodities and resale and repurchase agreements. We assume the counterparty risk for all transactions that are cleared through Nasdaq Clearing on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also may not be sufficient.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credit risk related to transaction and subscription-based revenues that are billed to customers on a monthly or quarterly basis, in arrears.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losses such as those described above could adversely affect our consolidated financial position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Technology issues relating to our role as exclusive processor for Nasdaq-listed stocks could affect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as technology provider to the UTP Operating Committee, has implemented measures to enhance the resiliency of the existing processor system. Nasdaq transferred the processor technology platform to our INET platform and this migration further enhanced the resiliency of the processor systems. However, if future outages occur or the processor systems fail to function properly while we are operating the systems, it could have an adverse effect on our business, reputation and financial condition.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Stagnation or decline in the listings market could have an adverse effect on our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listings is dependent on the prosperity of companies and the availability of risk capital. A stagnation or decline in the number of new listings, or an increase in the number of delistings, on The Nasdaq Stock Market and the Nasdaq Nordic and Nasdaq Baltic exchanges could cause a decrease in revenues for future years. A prolonged decrease in the number of listings, failure of existing SPACs to successfully complete transactions with target companies and dissolve or an increase in the number of delistings, could negatively impact the growth of our revenues. Our corporate solutions business is also impacted by declines in the listings market or increases in acquisitions, privatizations or bankruptcies as there may be fewer publicly-traded customers that need our products.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TRANSACTIONAL ACTIVITIES AND STRATEGIC RELATIONSHIPS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successfully integrate acquired businesses, which may result in an inability to realize the anticipated benefits of our acquisitions.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must rationalize, coordinate and integrate the operations of our acquired businesses, including the acquisition of Adenza, which was completed in November 2023. This process involves complex technological, operational and personnel-related challenges, which are time-consuming and expensive and may disrupt our business. The difficulties, costs and delays that could be encountered may include:</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difficulties, costs or complications in combining the companies’ operations, including technology platforms, security measures and infrastructure or regulatory or legal non-compliance that may need greater remediation than anticipated, which could lead to us not achieving the synergies or efficiencies we anticipate or customers not renewing their contracts with us as we migrate platforms;</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incompatibility of systems and operating methods;</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reliance on, or provision of, transition services;</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inability to use capital assets efficiently to develop the business of the combined company and achieve revenue growth, including cross-sell activity;</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difficulties of complying with government-imposed regulations in the U.S. and abroad, which may be conflicting;</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resolving possible inconsistencies in standards, controls, procedures and policies, business cultures and compensation structures;</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the diversion of management’s attention from ongoing business concerns and other strategic opportunities;</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difficulties in operating businesses we have not operated before;</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difficulties of integrating multiple acquired businesses simultaneously;</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the retention of key employees and management;</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the implementation of disclosure controls, internal controls and financial reporting systems at non-U.S. subsidiaries to enable us to comply with U.S. GAAP and U.S. securities laws and regulations, including the Sarbanes-Oxley Act of 2002, required as a result of our status as a reporting company under the Exchange Act;</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the coordination of geographically separate organizations;</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the coordination and consolidation of ongoing and future research and development efforts;</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possible tax costs or inefficiencies associated with integrating the operations of a combined company;</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the retention of strategic partners and attracting new strategic partners; and</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negative impacts on employee morale and performance as a result of job changes and reassignments.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acquisitions, or acquisitions involving companies with numerous foreign subsidiaries, involve risks in addition to those mentioned above, including those related to integration of operations across different cultures and languages, our ability to enforce contracts in various jurisdictions, currency risks and the particular economic, political and regulatory risks associated with specific countries. We may not be able to address these risks successfully, or at all, without incurring significant costs, delays or other operating problems that could disrupt our business and have a material adverse effect on our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these reasons, we may not achieve the anticipated financial and strategic benefits from our acquisitions and strategic initiatives. Any actual efficiencies and synergies may be lower than we expect and may take a longer time to achieve than we anticipate, and we may fail to realize the anticipated benefits of acquisitions.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rely on third parties to perform certain functions, and our business could be adversely affected if these third parties fail to perform as expected or experience service interruptions affecting our operations.</w:t>
      </w:r>
    </w:p>
    <w:p>
      <w:pPr>
        <w:pStyle w:val="TextBody"/>
        <w:bidi w:val="0"/>
        <w:spacing w:lineRule="auto" w:line="288" w:before="120" w:after="283"/>
        <w:jc w:val="both"/>
        <w:rPr/>
      </w:pPr>
      <w:r>
        <w:rPr>
          <w:rFonts w:ascii="Times New Roman;sans-serif" w:hAnsi="Times New Roman;sans-serif"/>
          <w:b w:val="false"/>
          <w:color w:val="000000"/>
          <w:sz w:val="20"/>
        </w:rPr>
        <w:t>We rely on third parties for regulatory, data center, cloud computing, data storage and processing, connectivity, data content, clearing, maintaining markets and exchange liquidity and other services. Interruptions or delays in services from our third-party providers could impair our services or their delivery and harm our business. To the extent that any of our vendors or other third-party service providers experience difficulties or a significant disruption, breach or outage, materially changes their business relationship with us or fails or delays for any reason to perform their obligations, including due to geopolitical instability, our business or our reputation may be materially adversely affected.</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access to cloud service provider infrastructure could be limited by a number of events, including technical or infrastructure failures, natural disasters or cybersecurity attacks. As we continue to grow our SaaS businesses, our dependency on the continuing operation and availability of these cloud service providers increases. If our cloud services from third party providers are unavailable to us for any reason, or there are cloud service disruptions or a delay or inability to access our exchanges, platforms or certain of our cloud products or features, such unavailability or delays may adversely affect our clients, which could significantly impact our reputation, operations, business, and financial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AWS operates a platform that we use to provide exchange and other services to our clients, and therefore we are vulnerable to service outages on the AWS platform that affect Nasdaq workloads running or stored in the AWS environment. If AWS does not deliver our system requirements on time, fails to provide maintenance and support to our specifications or a migration experiences integration challenges, the successful migration of our exchanges to the AWS cloud platform may be significantly delayed, which may adversely affect our reputation and financial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members of our trading community to maintain markets and add liquidity. To the extent that any of our largest members experience difficulties, materially change their business relationship with us or are unable for any reason to perform market making activities, our business or our reputation may be materially adversely affected.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be required to recognize impairments of our goodwill, intangible assets or other long-lived assets in the future.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acquisitions typically result in the recording of goodwill and intangible assets, and the recorded values of those assets may become impaired in the future. As of December 31, 2024, goodwill totaled $14.0 billion and intangible assets, net of accumulated amortization, totaled $6.9 billion. The determination of the value of such goodwill and intangible assets requires management to make estimates and assumptions that affect our consolidated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 goodwill and intangible assets, as well as other long-lived assets, including equity method investments, equity securities, and property and equipment, for potential impairment on an annual basis or more frequently if indicators of impairment arise. We estimate the fair value of such assets by assessing many factors, including historical performance and projected cash flows. Considerable management judgment is necessary to project future cash flows and evaluate the impact of expected operating and macroeconomic changes on these cash flows. The estimates and assumptions we use are consistent with our internal planning process. However, there are inherent uncertainties in these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impairment charges recorded relating to goodwill and indefinite-lived intangible assets and there were no material impairment charges recorded relating to other long-lived assets in 2024, 2023 and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future events that may result in asset impairments. Future disruptions to our business, prolonged economic weakness, due to pandemics or otherwise, or significant declines in operating results at any of our reporting units or businesses, may result in impairment charges to goodwill, intangible assets or other long-lived assets. A significant impairment charge in the future could have a material adverse effect on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Acquisitions, divestments, investments, joint ventures and other transactional activities may require significant resources and/or result in significant unanticipated losses, costs or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acquisitions, such as Adenza, have been, or are expected to be, significant factors in our growth. We have divested businesses and may continue to divest additional businesses or assets in the future. Although we cannot predict our transactional activities, we believe that additional acquisitions, divestments, investments, joint ventures and other transactional activities will be important to our strategy. Such transactions may be material in size and scope. Other potential purchasers of assets in our industry may have greater financial resources than we have. Therefore, we cannot be sure that we will be able to complete future transactions on terms favorable to 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invest in early-stage companies through our Nasdaq Ventures program and hold minority interests in other entities. Given the size of these investments, we do not have operational control of these entities and may have limited visibility into risk management practices. Thus, we may be subject to additional capital requirements in certain circumstances and financial and reputational risks if there are operational failures.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finance future transactions by issuing additional equity and/or debt. The issuance of additional equity in connection with any such transaction could be substantially dilutive to existing shareholders. In addition, the announcement or implementation of future transactions by us or others could have a material effect on the price of our common stock. The issuance of additional debt could increase our leverage substantially. Additional debt may reduce our liquidity, curtail our access to financing markets, impact our standing with credit rating agencies and increase the cash flow required for debt service. Any incremental debt incurred to finance a transaction could also place significant constraints on the operation of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any future transactions could entail a number of additional risks, including:</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inability to maintain key pre-transaction business relationships;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increased operating costs;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inability to meet our target for return on invested capital;</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increased debt obligations, which may adversely affect our targeted debt ratios;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changes in our credit rating and financing costs;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risks to the continued achievement of our strategic direction;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risks associated with divesting employees, customers or vendors when divesting businesses or assets;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declines in the value of investments;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exposure to unanticipated liabilities, including after a transaction is completed;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incurred but unreported claims for an acquired company;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difficulties in realizing projected efficiencies and synergies.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LIQUIDITY AND CAPITAL RESOURCES</w:t>
      </w:r>
    </w:p>
    <w:p>
      <w:pPr>
        <w:pStyle w:val="TextBody"/>
        <w:bidi w:val="0"/>
        <w:spacing w:lineRule="auto" w:line="288" w:before="60" w:after="283"/>
        <w:jc w:val="both"/>
        <w:rPr>
          <w:rFonts w:ascii="Times New Roman;sans-serif" w:hAnsi="Times New Roman;sans-serif"/>
          <w:b/>
          <w:i/>
          <w:color w:val="000000"/>
          <w:sz w:val="20"/>
        </w:rPr>
      </w:pPr>
      <w:r>
        <w:rPr>
          <w:rFonts w:ascii="Times New Roman;sans-serif" w:hAnsi="Times New Roman;sans-serif"/>
          <w:b/>
          <w:i/>
          <w:color w:val="000000"/>
          <w:sz w:val="20"/>
        </w:rPr>
        <w:t>A downgrade of our credit rating could increase the cost of our funding from the capital markets.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is currently rated investment grade by two of the major rating agencies. These rating agencies regularly evaluate us, and their ratings of our long-term debt and commercial paper are based on a number of factors, including our financial strength and corporate development activity, as well as factors not entirely within our control, including conditions affecting our industry generally. There can be no assurance that we will maintain our current ratings. Our failure to maintain such ratings could reduce or eliminate our ability to issue commercial paper and adversely affect the cost and other terms upon which we are able to obtain funding and increase our cost of capital. A reduction in credit ratings would also result in increases in the cost of our commercial paper and other outstanding debt as the interest rate on the outstanding amounts under our credit facilities and our senior notes fluctuates based on our credit ratings.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leverage limits our financial flexibility, increases our exposure to weakening economic conditions and may adversely affect our ability to obtain additional financing.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indebtedness as of December 31, 2024 was $9.5 billion. We may borrow additional amounts by utilizing available liquidity under our existing credit facilities, issuing additional debt securities or issuing short-term, unsecured commercial paper notes through our commercial paper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leverage and reliance on the capital markets could: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increase our exposure to a continued downturn in general economic conditions;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place us at a competitive disadvantage compared with our competitors with less debt;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affect our ability to obtain additional financing in the future for refinancing indebtedness, acquisitions, working capital, capital expenditures or other purposes;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increase our cost of debt and reduce or eliminate our ability to issue commercial paper.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must comply with the covenants in our credit facilities. Among other things, these covenants restrict our ability to effect certain fundamental transactions, dispose of certain assets, incur additional indebtedness and grant liens on assets. Failure to meet any of the covenant terms of our credit facilities could result in an event of default. If an event of default or cross-default occurs, and we are unable to receive a waiver of default, our lenders may increase our borrowing costs, restrict our ability to obtain additional borrowings and accelerate repayment of all amounts outstanding.</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will need to invest in our operations to maintain and grow our business and to integrate acquisitions, and we may need additional funds, which may not be readily available.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the availability of adequate capital to maintain and develop our business. Although we believe that we can meet our current capital requirements from internally generated funds, cash on hand and borrowings under our revolving credit facility and commercial paper program, if the capital and credit markets experience volatility, access to capital or credit may not be available on terms acceptable to us or at all. Rising interest rates could adversely affect our ability to pursue new financing opportunities, and it may be more expensive for us to issue new debt securities. Limited access to capital or credit in the future could have an impact on our ability to refinance debt, maintain our credit rating, meet our regulatory capital requirements, engage in strategic initiatives, make acquisitions or strategic investments in other companies, pay dividends, repurchase our stock or react to changing economic and business conditions. If we are unable to fund our capital or credit requirements, it could have an adverse effect on our business, financial condition and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need to raise funds through incurring additional debt, we may become subject to covenants more restrictive than those contained in our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operate several of our businesses in highly regulated industries and may be subject to censures, fines and enforcement proceedings if we fail to comply with regulatory obligations that can be ambiguous and can change unexpectedly.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several of our businesses in highly regulated industries and are subject to extensive regulation in the U.S., Europe and Canada. The securities trading industry is subject to significant regulatory oversight and could be subject to increased governmental and public scrutiny in the future that can change in response to global conditions and events, or due to changes in trading patterns, such as due to the recent volatility involving the trading of certain stocks.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comply with complex and changing regulation is largely dependent on our establishment and maintenance of compliance, audit and reporting systems that can quickly adapt and respond, as well as our ability to attract and retain qualified compliance and other risk management personnel. There is no assurance that our policies and procedures will always be effective or that we will always be successful in monitoring or evaluating the risks to which we are or may be exposed.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regulated markets are subject to audits, investigations, administrative proceedings and enforcement actions relating to compliance with applicable rules and regulations. Regulators have broad powers to impose fines, penalties or censure, issue cease-and-desist orders, prohibit operations, revoke licenses or registrations and impose other sanctions on our exchanges, broker-dealers, central securities depositories, clearinghouse and markets for violations of applicable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could be subject to regulatory investigations or enforcement proceedings that could result in substantial sanctions, including revocation of our operating licenses. Any such investigations or proceedings, whether successful or unsuccessful, could result in substantial costs, the diversion of resources, including management time, and potential harm to our reputation, which could have a material adverse effect on our business, results of operations or financial condition. In addition, our exchanges could be required to modify or restructure their regulatory functions in response to any changes in the regulatory environment, or they may be required to rely on third parties to perform regulatory and oversight functions, each of which may require us to incur substantial expenses and may harm our reputation if our regulatory services are deemed inadequate.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current U.S. federal securities laws, changes in the rules and operations of our securities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Favorable SEC rulings and interpretations can be challenged in and reversed by federal courts of appeals, reducing or eliminating the value of such prior interpretations. Any delay in approving changes, or the altering of any proposed change, could have an adverse effect on our business, financial condition and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must compete not only with non-exchanges, such as ATSs that are not subject to the same SEC approval requirements and processes, but also with other exchanges that may have lower regulation and surveillance costs than us. There is a risk that trading will shift to exchanges or non-exchanges that charge lower fees because, among other reasons, they spend significantly less on 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2016, the SEC approved a plan for Nasdaq and other exchanges to establish a CAT to improve regulators’ ability to monitor trading activity. Implementation of a CAT has resulted in significant additional expenditures, including to implement the costly and complex new technology. In September 2023, the SEC approved a “Funding Model” for the CAT that allocated one-third of CAT expenses to the SROs, including Nasdaq, and two-thirds of CAT expenses to the industry. This SEC approval order has been appealed to the 11th Circuit U.S. Court of Appeals, and the appeal remains pending. This allocation of expenses could be resolved unfavorably to the SEC and to the SROs, resulting in a delay in recovering expenses or the inability to recover those expenses. The SROs have yet to seek reimbursement for a portion of their expenses related to delivery of certain technology. If the SEC determines that we failed to timely or properly deliver the technology, we may forfeit recovery of an undetermined portion of those expenses. As of December 31, 2024, we have an outstanding net receivable of $135 million in connection with our portion of expenses related to the CAT implementation.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registered broker-dealer subsidiaries are subject to regulation by the SEC, FINRA and other SROs.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non-U.S. business is subject to regulatory oversight in all the countries in which we operate regulated businesses, such as exchanges, clearinghouses or central securities depositories. In these countries, we have received authorization from the relevant authorities to conduct our regulated business activities. The authorities may issue regulatory fines or may ultimately revoke our authorizations if we do not suitably carry out our regulated business activities. The authorities are also entitled to request that we adopt measures in order to ensure that we continue to fulfill the authorities’ requirements. We are also subject to current and forthcoming regulations applicable to the financial services sector generally including, but not limited to, the Digital Operational Resilience Act, or DORA, which became effective in January 2025. Such regulations may impact our operational, contracting and compliance costs by requiring the implementation of new risk management procedures, requirements for procuring information and communication technology services, and ongoing processes to monitor compliance; failure to maintain compliance may cause us to be subject to regulatory actions and fines. Additionally, we are subject to the obligations under the Benchmark Regulation ((EU) 2016/1011), compliance with which could be costly or cause a change in our business practices.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operate in a highly regulated industry. Regulatory authorities could impose regulatory changes that could impact the ability of our customers to use our exchanges. The loss of a significant number of customers or a reduction in trading activity on any of our exchanges as a result of such changes could have a material adverse effect on our business, financial condition and operating results. In addition, regulatory changes could impact the ability of current or prospective customers to procure commercial services from us, increase our cost of delivery or performance due to regulatory-driven changes to services or related business processes and lengthen sales cycles as customers are required to conduct additional diligence and contracting processes prior to procuring our services.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changes and changes in market structure and proprietary data could have a material adverse effect on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changes adopted by the SEC or other regulators of our markets, and regulatory changes that our markets may adopt in fulfillment of their regulatory obligations, could materially affect our business operations. In recent years, there has been increased regulatory and governmental focus on issues affecting the securities markets, including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structure, technological oversight and fees for proprietary market data, connectivity and transactions. The SEC, FINRA and the national securities exchanges have introduced several initiatives to ensure the oversight, integrity and resilience of markets.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our regulated businesses, our business model can be severely impacted by policy decisions. In September 2024, the SEC adopted a rule that would significantly reduce the fees that exchanges are permitted to charge for access to liquidity quoted on the exchange, with a resulting reduction in the ability of exchanges to pay rebates to attract liquidity. Nasdaq has petitioned the U.S. Court of Appeals for the District of Columbia Circuit to vacate the proposed rule. While we will adjust our business model in accordance with the new rule if it is not vacated, the implementation of the rule may adversely impact our business and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Canada, all new marketplace fees and changes to existing fees, including trading and market data fees, must be filed with and approved by the Ontario Securities Commission. The Canadian Securities Administrators adopted a Data Fees Methodology that restricts the total amount of fees that can be charged for professional uses by all marketplaces to a reference benchmark. Currently, all marketplaces are subject to annual reviews of their market data fees tying market data revenues to pre- and post-trade market share metrics. Permitted fee ranges are based on an interim domestic benchmark that is subject to change to an international benchmark, which could lower the permitted fees charged by marketplaces, which could adversely impact our revenues. </w:t>
      </w:r>
    </w:p>
    <w:p>
      <w:pPr>
        <w:pStyle w:val="TextBody"/>
        <w:bidi w:val="0"/>
        <w:spacing w:lineRule="auto" w:line="288" w:before="120" w:after="283"/>
        <w:jc w:val="both"/>
        <w:rPr/>
      </w:pPr>
      <w:r>
        <w:rPr>
          <w:rFonts w:ascii="Times New Roman;sans-serif" w:hAnsi="Times New Roman;sans-serif"/>
          <w:b w:val="false"/>
          <w:color w:val="000000"/>
          <w:sz w:val="20"/>
        </w:rPr>
        <w:t>Our European exchanges currently offer market data products to customers on a non-discriminatory and reasonable commercial basis. The MiFID II/MiFIR rules entail that the price for regulated market data such as pre- and post-trade data shall be based</w:t>
      </w:r>
      <w:r>
        <w:rPr>
          <w:color w:val="000000"/>
        </w:rPr>
        <w:t xml:space="preserve"> </w:t>
      </w:r>
      <w:r>
        <w:rPr>
          <w:rFonts w:ascii="Times New Roman;sans-serif" w:hAnsi="Times New Roman;sans-serif"/>
          <w:b w:val="false"/>
          <w:color w:val="000000"/>
          <w:sz w:val="20"/>
        </w:rPr>
        <w:t>on cost plus a reasonable margin. However, these terms are not clearly defined. There is a risk that a different interpretation of these terms may influence the fees for European market data products adversely. In addition, any future actions by European Union institutions could affect our ability to offer market data products in the same manner as today, thereby causing an adverse effect on our market data revenues.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litigation risks, risks from compliance obligations and associated enforcement risks, and other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aspects of our business potentially involve substantial liability risks. Although under current law we are immune from private suits arising from conduct within our regulatory authority and from acts and forbearances incident to the exercise of our regulatory authority, this immunity only covers certain of our activities in the U.S., and we could be exposed to liability under national and local laws, court decisions and rules and regulations promulgated by regulatory agencies.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risks related to compliance with economic sanctions (including those administered by the U.S. Office of Foreign Assets Control), export controls, corruption (including the U.S. Foreign Corrupt Practices Act) and money laundering. While we maintain compliance programs to prevent and detect potential violations, such programs cannot completely eliminate the risk of non-compliance. Since our Financial Crime Management Technology and surveillance solutions are important offerings, a significant compliance event involving one of these areas could more negatively impact our business than a comparable business without this service offering.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Although we carry insurance that may limit our risk of damages in some cases, we still may incur significant legal expenses and may sustain uncovered losses or losses in excess of available insurance that would affect our business, financial condition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have self-regulatory obligations and also operate for-profit businesses, and these two roles may create conflicts of interest.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obligations to regulate and monitor activities on our markets and ensure compliance with applicable law and the rules of our markets by market participants and listed companies. In the U.S., some have expressed concern about potential conflicts of interest of “for-profit” markets performing the regulatory functions of an SRO. We perform regulatory functions and bear regulatory responsibility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Nordic and Baltic exchanges monitor trading and compliance with listing standards in accordance with the European Union’s Market Abuse Regulation and other applicable laws. As previously disclosed, the SFSA initiated a review of the Nasdaq Stockholm exchange regarding the obligation of Nasdaq Stockholm to report suspected market abuse, which resulted in Nasdaq Stockholm paying an administrative fine to the SFSA of 100 million SEK, or $9 million, during 2024. Any failure to diligently and fairly regulate the Nordic and Baltic exchanges could significantly harm our reputation, prompt scrutiny from regulators and adversely affect our business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Laws and regulations regarding security and safeguarding of our systems and services, protection of sensitive customer data and the handling of personal data and information may affect our services or result in increased costs, legal claims or fines against 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operates certain systems that may be considered “critical infrastructure” under certain regulations and licenses or sells certain systems or services to customers that are used by customers in their role as providers of critical infrastructure or to fulfill certain core business requirements or process certain sensitive data. New cybersecurity, privacy, data sovereignty, and resiliency regulations may impact the requirements and cost of delivery for impacted systems and services and, in the event of an incident, increase the cost and complexity of our response and the potential financial and reputation impact from fines or private litigation. These regulations may also impact customer decision making and conditions on contracting for our services.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businesses and internal operations rely on the processing of data in many jurisdictions and the movement of data, including personal data, across national borders. Legal and contractual requirements relating to the processing, including, but not limited to, collection, storage, handling, use, disclosure, transfer and security, and brokering, of personal data continue to evolve and regulatory scrutiny and customer requirements in this area are increasing around the world. Significant uncertainty exists as privacy and data protection laws may be interpreted and applied differently across jurisdictions and may create inconsistent or conflicting requirements with privacy and other laws to which we are subject.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Laws and regulations such as the European Union and United Kingdom General Data Protection Regulation, the California Privacy Rights Act and other comparable laws and regulations adopted globally and within the United States and Canada can apply to our processing of their residents’ personal data by Nasdaq legal entities regardless of the location of such entities; such laws may also require our customers located in such jurisdictions to contractually obligate our compliance.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directly applying to some of our business activities, these laws and industry-specific regulations, such as the Health Insurance Portability and Accountability Act and the Gramm-Leach-Bliley Act, impact many of our customers, which may affect their decisions to purchase our services. As a supplier to such customers, regulators may engage in direct enforcement actions or seek to impose liability on us if we do not comply with applicable regulations. Our efforts to comply with privacy and data protection laws may entail substantial expenses, may divert resources from other initiatives and projects, and could impact the services that we offer. The enactment of more restrictive laws, rules or regulations, future enforcement actions or investigations, or the creation of new rights to pursue damages could impact us through increased costs or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restrictions on our business, and noncompliance could result in regulatory penalties and significant legal liability.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Changes in tax laws, regulations or policies could have a material adverse effect on our financial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tax laws, regulations, trade policies or other policies, including with respect to renewable energy tax credits, could result in us having to pay higher taxes or operating expenses, which may reduce our net income, or could adversely affect our ability to continue our capital allocation program, purchase additional energy tax credits or effect strategic transactions in a tax-favorable manner. In addition, such changes, including federal or state financial transaction taxes, may increase the cost of our offerings or services, which may cause our clients to reduce their use of our services. Any changes to laws, regulations, policies or other legal restrictions regarding the employment, staffing, supervision or business activities of international or non-U.S. citizen employees of U.S. companies may adversely affect our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subsidiaries are subject to tax in the jurisdictions in which they are organized or operate, and in computing our tax obligation in these jurisdictions, we take various tax positions. We cannot ensure that upon review of these positions, the applicable authorities will agree with our positions. A successful challenge by a tax authority could result in additional taxes imposed on our clients or our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 AND BRAND REPUTATION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Damage to our reputation or brand name could have a material adverse effect on our businesses.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of our competitive strengths is our strong reputation and brand name. Various issues may give rise to reputational risk, including issues relating to:</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our ability to maintain the security of our data and systems;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the quality and reliability of our technology platforms and systems;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the ability to fulfill our regulatory obligations;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ability to execute our business plan, key initiatives or new business ventures and the ability to keep up with changing customer demand;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representation of our business in the media;</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accuracy of our financial statements, other financial and statistical information or sustainability-related disclosures;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accuracy of our financial guidance or other information provided to our investors;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quality of our corporate governance structure;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quality of our products the reliability of our solutions and the accuracy of our information and data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quality of our disclosure controls or internal controls over financial reporting, including any failures in supervision;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extreme price volatility on our markets;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any negative publicity surrounding our listed companies or our listing rules;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any negative publicity surrounding the use of our products and/or services by our customers, including in connection with emerging asset classes such as crypto assets;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any misconduct, fraudulent activity or theft by our employees or other persons formerly or currently associated with 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Negative publicity or misrepresentations by third parties, particularly on social media, may adversely impact our credibility as a leader in the global capital markets and as a source for data and analytics. This may have an adverse effect on our brands, business and operating results. Damage to our reputation could cause some issuers not to list their securities on our exchanges or switch to a different exchange. Reputational damage may also reduce trading volumes or values on our exchanges or cause us to lose customers. This may have a material adverse effect on our business, financial condition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Failure to meet customer expectations or deadlines for the implementation of our products could result in negative publicity, losses and reduced sales, each of which may harm our reputation, business and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mutually agree with our customers on the duration, budget and costs associated with the implementation of certain of our products, particularly our market technology large-scale market infrastructure projects. Various factors may cause implementations to be delayed, inefficient or otherwise unsuccessful, including due to unforeseen project complexities, our deployment of insufficient resources or other external factors. The effects of a failure to meet an implementation schedule could include monetary credits for current or future service engagements, a reduction in fees for the project, or the expenditure of additional expenses to mitigate such delays. In addition, time-consuming implementations may also increase the personnel we must allocate to such customer, thereby increasing our costs and diverting attention from other projects. Unsuccessful, lengthy, or costly customer implementation projects could result in claims from customers, decreased customer satisfaction, harm to our reputation, and opportunities for competitors to displace us, each of which could have an adverse effect on our reputation, business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reputation or business could be negatively impacted by sustainability matters and our reporting of such matters.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communicate certain sustainability-related initiatives, goals, and/or commitments regarding environmental matters, social matters, vendors and suppliers and other matters in our annual Sustainability Report, Task Force on Climate-related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Disclosures Report, on our website, in our filings with the SEC and elsewhere. These goals or commitments, such as our commitment to achieve net-zero for Scope 3 greenhouse gas emissions by 2050, could be difficult to achieve and costly to implement. Our initiatives could fail to achieve, or be perceived to fail to achieve, these goals or commitments. In addition, we could be criticized for the timing, scope or nature of these initiatives, goals, or commitments, or for any revisions to them. We could be subject to litigation or regulatory enforcement actions regarding the accuracy, adequacy, or completeness of our sustainability-related disclosures. Our actual or perceived failure to achieve, or stakeholder dissatisfaction of, our sustainability-related goals or commitments could negatively impact our reputation or otherwise materially harm our business.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Failure to protect our intellectual property rights, or allegations that we have infringed on the intellectual property rights of others, could harm our brand-building efforts and ability to compete effectively.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protect our intellectual property rights, we rely on a combination of trademark laws, copyright laws, patent laws, trade secret protection, confidentiality agreements and other contractual arrangements with our affiliates, clients, strategic partners, employees and others. However, the efforts we have taken to protect our intellectual property and proprietary rights might not be sufficient, or effective, at stopping unauthorized use of those rights. We may be unable to detect the unauthorized use of, or take appropriate steps to enforce, our intellectual property rights.</w:t>
      </w:r>
    </w:p>
    <w:p>
      <w:pPr>
        <w:pStyle w:val="TextBody"/>
        <w:bidi w:val="0"/>
        <w:spacing w:lineRule="auto" w:line="288" w:before="120" w:after="283"/>
        <w:jc w:val="both"/>
        <w:rPr/>
      </w:pPr>
      <w:r>
        <w:rPr>
          <w:rFonts w:ascii="Times New Roman;sans-serif" w:hAnsi="Times New Roman;sans-serif"/>
          <w:b w:val="false"/>
          <w:color w:val="000000"/>
          <w:sz w:val="20"/>
        </w:rPr>
        <w:t>We have registered, or applied to register, our trademarks in the United States and in over 50 foreign jurisdictions and have pending U.S. and foreign applications for other trademarks. We also maintain copyright protection for software products</w:t>
      </w:r>
      <w:r>
        <w:rPr>
          <w:color w:val="000000"/>
        </w:rPr>
        <w:t xml:space="preserve"> </w:t>
      </w:r>
      <w:r>
        <w:rPr>
          <w:rFonts w:ascii="Times New Roman;sans-serif" w:hAnsi="Times New Roman;sans-serif"/>
          <w:b w:val="false"/>
          <w:color w:val="000000"/>
          <w:sz w:val="20"/>
        </w:rPr>
        <w:t>and pursue patent protection for inventions developed by us. We hold a number of patents, patent applications and licenses in the United States and other foreign jurisdictions. However, effective trademark, copyright, patent and trade secret protection might not be available or cost-effective in every country in which we offer our services and products. Moreover, changes in patent law, regulation or practices at the U.S. Patent and Trademark Office and/or analogous offices in other jurisdictions, such as changes in the law regarding patentable subject matter, could also impact our ability to obtain patent protection for our innovations. The scope of protection under our patents may not be sufficient in some cases, or existing patents may be deemed invalid or unenforceable. Failure to protect our intellectual property adequately could harm our brand and affect our ability to compete effectively. Further, defending our intellectual property rights could result in the expenditure of significant financial and managerial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100" w:after="283"/>
        <w:jc w:val="both"/>
        <w:rPr>
          <w:rFonts w:ascii="Times New Roman;sans-serif" w:hAnsi="Times New Roman;sans-serif"/>
          <w:b/>
          <w:i/>
          <w:color w:val="000000"/>
          <w:sz w:val="20"/>
        </w:rPr>
      </w:pPr>
      <w:r>
        <w:rPr>
          <w:rFonts w:ascii="Times New Roman;sans-serif" w:hAnsi="Times New Roman;sans-serif"/>
          <w:b/>
          <w:i/>
          <w:color w:val="000000"/>
          <w:sz w:val="20"/>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holding company, we require dividends and other payments from our subsidiaries to meet cash requirements. Minimum capital requirements mandated by regulatory authorities having jurisdiction over some of our regulated subsidiaries indirectly restrict the amount of dividends that can be paid upstream.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subsidiaries are unable to pay dividends and make other payments to us when needed, or if regulators or counterparties require us to increase capital deployed in certain of our regulated subsidiaries, we may be unable to satisfy our obligations, which would have a material adverse effect on our business, financial condition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experience fluctuations in our operating results, which may adversely affect the market price of our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industry is risky and unpredictable and is directly affected by many national and international factors beyond our control, including:</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economic, political and geopolitical market conditions;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natural disasters, terrorism, pandemics, war or other catastrophes;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broad trends in finance and technology;</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changes in price levels and volatility in the stock markets;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level and volatility of interest rates;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volatility in commodity markets, including the energy markets;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inflation;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disruptions or delays in our supply chains;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changes in government monetary or tax policy;</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imposition of governmental economic sanctions or tariffs, on countries in which we do business or where we plan to expand our business or sell our products and services;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perceived attractiveness of the U.S. or European capital markets.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one of these factors could have a material adverse effect on our business, financial condition and operating results by causing a substantial decline in the financial services markets and reducing trading volumes or values.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since borrowings under our credit facilities bear interest at variable rates and commercial paper is issued at prevailing interest rates, any increase in interest rates on debt that we have not fixed using interest rate hedges will increase our interest expense, reduce our cash flow or increase the cost of future borrowings or refinancings.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is related to personnel costs, regulation and corporate overhead, none of which can be adjusted quickly and some of which cannot be adjusted at all. Our operating expense levels are based on our expectations for future revenue. If actual revenue is below management’s expectations, or if our expenses increase before revenues do, both revenues less transaction-based expenses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operational processes are subject to the risk of error, which may result in financial loss or reputational damage.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instituted extensive controls to reduce the risk of error inherent in our operations; however, such risk cannot completely be eliminated. Our businesses are highly dependent on our ability to process and report, on a daily basis, a large number of transactions across numerous and diverse markets. Some of our operations require complex processes, and the introduction of new products or services or changes in processes or reporting due to regulatory requirements may result in an increased risk of errors for a period after implementation. Additionally, the likelihood of such errors or vulnerabilities is heightened as we acquire new products from third parties, whether as a result of acquisitions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Data, other content or information that we distribute may contain errors or be delayed, causing reputational harm. Use of our products and services as part of the investment process creates the risk that clients, or the parties whose assets are managed by our clients, may pursue claims against us in the event of such delay or error, and significant litigation against us might unduly burden management, personnel, financial and other resources.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sophisticated software we sell to our customers may contain undetected errors or vulnerabilities, some of which may be discovered only after delivery, or could fail to perform its intended purpose. Because our clients depend on our solutions for critical business functions, any service interruptions, failures or other issues may result in lost or delayed market acceptance and lost sales, or negative customer experiences that could damage our reputation, resulting in the loss of customers, loss of revenues and liability for damages, which may adversely affect our business, operating results and financial condition.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Climate change may have a long-term adverse impact on our business, while simultaneously, we face reputational, regulatory and financial risks related to our ability to respond to diverse stakeholder expectations and requirements on climate change and other sustainability-related topics.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seek to mitigate our business risks associated with climate change by establishing robust environmental and sustainability programs, there are inherent climate related risks wherever our business is conducted. Climate related events, including extreme weather events and their impact on the critical infrastructure in the U.S. and elsewhere, have the potential to disrupt our business or the business of our clients and/or suppliers. For example, changes in weather where we operate may increase the costs of powering and cooling our data centers or the facilities that we use to operate our exchanges and clearinghouses, develop our products or provide cloud-based services; cause increased volatility in commodity markets in which Nasdaq Clearing operates as a clearinghouse, which may result in Nasdaq Clearing holding insufficient collateral for such volatility; lead to an increase in costs of raw materials, which may adversely affect certain of our listed companies operating in certain sectors and create adverse market conditions, including trading volatility beyond historical levels, any of which could adversely affect our business, reputation, financial condition and operating results. Access to clean water and reliable energy in the communities where we conduct our business, whether for our offices, data centers, vendors, clients or other stakeholders, is a priority.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there is an increased focus from our regulators, investors, clients, employees, and other stakeholders concerning corporate citizenship, greenhouse gas emissions reduction and sustainability matters, including proposed or adopted laws, regulations or policies on sustainability-related topics that diverge from, or potentially conflict with, laws in other jurisdictions in which we operate. Changing legal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requirements, policies and stakeholder expectations have resulted in, and are likely to continue to result in, increased general and administrative expenses and management time and attention to comply with, or meet, those regulations and expectations.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businesses operate in various international markets, which are subject to political, economic and social uncertainties.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operate in various international markets, including but not limited to Northern Europe, the Baltics, the Middle East, Latin America, Africa and Asia, and our non-U.S. operations are subject to the risk inherent in the international environment. Political, economic or social events or developments in one or more of our non-U.S. locations or in the U.S. arising from such international developments, such as limitations imposed on securing new listings on our exchanges or restrictions on entering into transactions with new or existing customers, could adversely affect our sales, operations and financial results. Some locations, such as Lithuania, India, the Philippines and in other emerging markets, have economies that may be subject to greater political, economic and social uncertainties than countries with more developed institutional structures, which may increase our operational risk.</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Unforeseen or catastrophic events could interrupt our critical business functions. In addition, our U.S. and European businesses are heavily concentrated in particular areas and may be adversely affected by events in those areas.</w:t>
      </w:r>
    </w:p>
    <w:p>
      <w:pPr>
        <w:pStyle w:val="TextBody"/>
        <w:bidi w:val="0"/>
        <w:spacing w:lineRule="auto" w:line="288" w:before="11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losses as a result of unforeseen or catastrophic events, such as terrorist attacks, natural disasters, pandemics, extreme weather, fire, power loss, telecommunications failures, human error, theft, sabotage and vandalism. Given our position in the global capital markets and our brand, we may be more likely than other companies to be a target for malicious disruption activities or physical attacks on our senior leadership team and/or our office locations.</w:t>
      </w:r>
    </w:p>
    <w:p>
      <w:pPr>
        <w:pStyle w:val="TextBody"/>
        <w:bidi w:val="0"/>
        <w:spacing w:lineRule="auto" w:line="288" w:before="11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U.S. and European business operations are heavily concentrated in the east coast of the U.S., and Stockholm, Sweden, respectively. Any event that impacts either of those geographic areas could potentially affect our ability to operate our businesses.</w:t>
      </w:r>
    </w:p>
    <w:p>
      <w:pPr>
        <w:pStyle w:val="TextBody"/>
        <w:bidi w:val="0"/>
        <w:spacing w:lineRule="auto" w:line="288" w:before="11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disaster recovery and business continuity plans and capabilities for critical systems and business functions to mitigate the risk of an interruption. However, any interruption in our critical business functions or systems could negatively impact our financial condition and operating results. Additionally, some colocation customers may lack adequate disaster recovery solutions to avoid loss of trade flow from a sustained interruption of our critical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10" w:after="283"/>
        <w:jc w:val="both"/>
        <w:rPr>
          <w:rFonts w:ascii="Times New Roman;sans-serif" w:hAnsi="Times New Roman;sans-serif"/>
          <w:b/>
          <w:i/>
          <w:color w:val="000000"/>
          <w:sz w:val="20"/>
        </w:rPr>
      </w:pPr>
      <w:r>
        <w:rPr>
          <w:rFonts w:ascii="Times New Roman;sans-serif" w:hAnsi="Times New Roman;sans-serif"/>
          <w:b/>
          <w:i/>
          <w:color w:val="000000"/>
          <w:sz w:val="20"/>
        </w:rPr>
        <w:t>Because we have operations in numerous countries, we are exposed to currency risk.</w:t>
      </w:r>
    </w:p>
    <w:p>
      <w:pPr>
        <w:pStyle w:val="TextBody"/>
        <w:bidi w:val="0"/>
        <w:spacing w:lineRule="auto" w:line="288" w:before="11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in the U.S., the Nordic and Baltic countries, Canada, the United Kingdom, Australia and many other foreign countries. We therefore have significant exposure to exchange rate movements between the Euro, Swedish Krona, the Canadian dollar and other foreign currencies against the U.S. dollar. Significant inflation or disproportionate changes in foreign exchange rates with respect to one or more of these currencies could occur as a result of general economic conditions, acts of war or terrorism, changes in governmental monetary, trade or tax policy, changes in local interest rates or other factors. These exchange rate differences will affect the translation of our non-U.S. results of operations, interest expense and financial condition into U.S. dollars as part of the preparation of our consolidated financial statements.</w:t>
      </w:r>
    </w:p>
    <w:p>
      <w:pPr>
        <w:pStyle w:val="TextBody"/>
        <w:bidi w:val="0"/>
        <w:spacing w:lineRule="auto" w:line="288" w:before="110" w:after="283"/>
        <w:jc w:val="both"/>
        <w:rPr>
          <w:rFonts w:ascii="Times New Roman;sans-serif" w:hAnsi="Times New Roman;sans-serif"/>
          <w:b/>
          <w:i/>
          <w:color w:val="000000"/>
          <w:sz w:val="20"/>
        </w:rPr>
      </w:pPr>
      <w:r>
        <w:rPr>
          <w:rFonts w:ascii="Times New Roman;sans-serif" w:hAnsi="Times New Roman;sans-serif"/>
          <w:b/>
          <w:i/>
          <w:color w:val="000000"/>
          <w:sz w:val="20"/>
        </w:rPr>
        <w:t>If our risk management methods are not effective, our business, reputation and financial results may be adversely affected.</w:t>
      </w:r>
    </w:p>
    <w:p>
      <w:pPr>
        <w:pStyle w:val="TextBody"/>
        <w:bidi w:val="0"/>
        <w:spacing w:lineRule="auto" w:line="288" w:before="110" w:after="283"/>
        <w:jc w:val="both"/>
        <w:rPr/>
      </w:pPr>
      <w:r>
        <w:rPr>
          <w:rFonts w:ascii="Times New Roman;sans-serif" w:hAnsi="Times New Roman;sans-serif"/>
          <w:b w:val="false"/>
          <w:color w:val="000000"/>
          <w:sz w:val="20"/>
        </w:rPr>
        <w:t>We utilize widely-accepted methods to identify, assess, monitor and manage our risks, including oversight of risk management by Nasdaq’s Global Risk Management Committee, which comprises senior executives and has the responsibility for regularly reviewing risks and referring significant risks to the board of directors or specific board committees. Local risk management committees in our international offices provide local risk oversight and escalation to local boards, as appropriate. Certain risk management methods require subjective evaluation of dynamic information regarding markets, customers or other matters. That variable information may not in all cases be accurate, complete, up-to-date or properly</w:t>
      </w:r>
      <w:r>
        <w:rPr>
          <w:color w:val="000000"/>
        </w:rPr>
        <w:t xml:space="preserve"> </w:t>
      </w:r>
      <w:r>
        <w:rPr>
          <w:rFonts w:ascii="Times New Roman;sans-serif" w:hAnsi="Times New Roman;sans-serif"/>
          <w:b w:val="false"/>
          <w:color w:val="000000"/>
          <w:sz w:val="20"/>
        </w:rPr>
        <w:t>evaluated. If we do not successfully identify, assess, monitor or manage the risks to which we are exposed, our business, reputation, financial condition and operating results could be materially adversely affected.</w:t>
      </w:r>
    </w:p>
    <w:p>
      <w:pPr>
        <w:pStyle w:val="TextBody"/>
        <w:bidi w:val="0"/>
        <w:spacing w:lineRule="auto" w:line="288" w:before="110" w:after="283"/>
        <w:jc w:val="both"/>
        <w:rPr>
          <w:rFonts w:ascii="Times New Roman;sans-serif" w:hAnsi="Times New Roman;sans-serif"/>
          <w:b/>
          <w:i/>
          <w:color w:val="000000"/>
          <w:sz w:val="20"/>
        </w:rPr>
      </w:pPr>
      <w:r>
        <w:rPr>
          <w:rFonts w:ascii="Times New Roman;sans-serif" w:hAnsi="Times New Roman;sans-serif"/>
          <w:b/>
          <w:i/>
          <w:color w:val="000000"/>
          <w:sz w:val="20"/>
        </w:rPr>
        <w:t>Decisions to declare future dividends on our common stock will be at the discretion of our board of directors and there can be no guarantee that we will pay future dividends to our stockholders.</w:t>
      </w:r>
    </w:p>
    <w:p>
      <w:pPr>
        <w:pStyle w:val="TextBody"/>
        <w:bidi w:val="0"/>
        <w:spacing w:lineRule="auto" w:line="288" w:before="11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regularly declares quarterly cash dividend payments on our outstanding common stock. Future declarations of dividends and the establishment of future record and payment dates are subject to approval by Nasdaq’s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 board may determine not to declare future dividends at all or to declare future dividends at a reduced amount. </w:t>
      </w:r>
    </w:p>
    <w:p>
      <w:pPr>
        <w:pStyle w:val="TextBody"/>
        <w:bidi w:val="0"/>
        <w:spacing w:lineRule="auto" w:line="288" w:before="110" w:after="283"/>
        <w:jc w:val="both"/>
        <w:rPr>
          <w:rFonts w:ascii="Times New Roman;sans-serif" w:hAnsi="Times New Roman;sans-serif"/>
          <w:b/>
          <w:i/>
          <w:color w:val="000000"/>
          <w:sz w:val="20"/>
        </w:rPr>
      </w:pPr>
      <w:r>
        <w:rPr>
          <w:rFonts w:ascii="Times New Roman;sans-serif" w:hAnsi="Times New Roman;sans-serif"/>
          <w:b/>
          <w:i/>
          <w:color w:val="000000"/>
          <w:sz w:val="20"/>
        </w:rPr>
        <w:t>Provisions of our certificate of incorporation, by-laws, exchange rules (including provisions included to address SEC concerns) and governing law restrict the ownership and voting of our common stock. In addition, such provisions could delay or prevent a change in control of us and entrench current management.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SEC’s concern about a concentration of our ownership, the rules of some of our exchange subsidiaries include a prohibition on any member or any person associated with a member of the exchange from beneficially owning more than 20% of our outstanding voting interests. SEC consent would be required before any investor could obtain more than a 20% voting interest in us. The rules of some of our exchange subsidiaries also require the SEC’s approval of any business ventures with exchange members, subject to exceptions.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do not permit stockholders to act by written consent;</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require certain advance notice for director nominations and actions to be taken at annual meetings; and</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authorize the issuance of undesignated preferred stock, or “blank check” preferred stock, which could be issued by our board of directors without stockholder approval.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Finally, many of the European countries where we operate regulated entities require prior governmental approval before an investor acquires 10% or greater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1B. Unresolved Staff Comments</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1C. Cybersecurity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Nasdaq’s brand and role as a critical infrastructure provider for global financial markets, and operator of The Nasdaq Stock Market, make us an attractive target for cybersecurity risks, including from international political opponents, hacktivists and ransomware or other financially motivated criminals targeting the financial sector. Our cybersecurity risks include financial and reputational damage, along with collateral damage from loss of customer confidence in our exchange, products or offerings, as applicable, potential regulatory enforcement actions or litigation, either from governmental authorities, shareholders, or other litigants, or the failure to comply with contractual breach notifications. To date, no risks from cybersecurity threats, including as a result of any previous cybersecurity incidents, have materially affected or are reasonably likely to materially affect our business, our business strategy, our results of operations or financial condition. For further information, see “Our role in the global marketplace positions us at greater risk for a cyberattack” and “Expanded cybersecurity regulations, and increased cybersecurity infrastructure and compliance costs, may adversely impact our results of operations” in “Item 1A, Risk Factors” of this Annual Report on Form 10-K.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risk management and mitigation approach includes the adoption of NIST CSF and NIST 800-53 security control frameworks and adaptive ongoing threat analysis. In addition, our Information Security, or InfoSec, team reviews and conducts a risk assessment of any novel technologies Nasdaq plans to implement. Our policies and our baseline security controls incorporate robust security infrastructure with multi-layered defense systems. We have 17 System and Organization Controls Type 2, or SOC 2, certifications with respect to our information security and infrastructure. Our adaptive analysis monitors the threat landscape relevant to Nasdaq, our vendors and financial industry peers, and threats arising from geopolitical events. As the external threat landscape evolves, our information security controls are regularly evaluated, updated and enhanced to help protect against emerging risks. Additionally, we conduct extensive cybersecurity assessments of our acquired entities, both prior to acquisition and following completion of the transaction, to understand potential threats and mitigate any potential security gaps, as well as to ensure compliance with our security infrastructure and access management practices and policies.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engage external advisors to perform an independent assessment of the maturity of Nasdaq’s information security programs, and compare our programs to our financial and technology industry peers. Nasdaq’s InfoSec program has demonstrated increasing levels of maturity year-over-year for every InfoSec department.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Recommendations to further enhance our procedures and maturity ratings from these assessments are then presented to the Audit &amp; Risk Committee.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periodic basis, our management team and the Board of Directors conduct tabletop exercises and simulations in cybersecurity matters with assistance from internal and outside experts. These exercises are intended to strengthen resilience and readiness with scenarios, including cybersecurity matters.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certain cloud-based third-party vendors for the core trading systems of certain of our exchanges and certain of our governance products and solutions. Prior to engaging such vendors, we analyze each provider’s SOC2 certifications, perform due diligence testing for information security and interoperability with our systems, and annually review the SOC2 certifications. Our security assurance and threat assessment team, within our Information Security organization, collaborates with our external threat intelligence providers to proactively review Nasdaq, and our vendors with respect to emerging threats and associated risks.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third-party service providers, our risk assessment process evaluates the probability and potential impact of incidents related to operational errors, technology disruptions, information security breaches, workforce issues, internal and external fraud, financial actions, and legal and regulatory matters. This assessment process is part of our Supplier Risk Management program, which establishes processes for identifying, assessing, and periodically reviewing our exposure to risk through third party vendors.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is an integral part of risk management at Nasdaq. The Board of Directors appreciates the rapidly evolving nature of threats presented by cybersecurity incidents and is committed to the prevention, timely detection, and mitigation of the effect any such incidents may have on us. We use a cross-departmental approach to assess and manage cybersecurity risk, with our Information Security; Legal, Risk and Regulatory; and Internal Audit functions presenting on key topics to the Audit &amp; Risk Committee, which provides oversight of our cybersecurity risk. Additionally, members from these organizations, along with Finance and Accounting, comprise a rapid response team that would mobilize in the event of a significant cybersecurity incident and would analyze and evaluate the incident while also advising the executive management team. Our Global Risk Management Committee, which includes our Chair and CEO and other senior executives, assists the Board of Directors in its cybersecurity risk oversight role.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&amp; Risk Committee receives quarterly or, if needed, more frequent reports on cybersecurity and information security matters from our Chief Information Security Officer, or CISO, and his team. The CISO has more than 25 years of experience in information technology and information security, particularly in the financial services industry, and our InfoSec organization has seasoned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members with expertise in application security; governance and compliance; program and vulnerability management; security engineering; security operations security assurance; and threat intelligence and security architecture.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regular reporting to the Audit &amp; Risk Committee also includes a cybersecurity dashboard that contains information on cybersecurity governance processes, and from time to time, also includes the status of projects to strengthen internal cybersecurity, ongoing prevention and mitigation efforts, security features of the products and services we provide our customers, or the results of security events during the period. The Audit &amp; Risk Committee also reviews and discusses recent cyber incidents affecting the industry and the emerging threat landscape.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is a shared responsibility, and our goal is for all employees to be vigilant in helping to protect our organization and themselves, at all times. We routinely perform simulations and tabletop exercises, and incorporate external resources and advisors as needed, to help strengthen our cybersecurity protection and information security procedures and safeguards. All employees are required to complete annual cybersecurity awareness training and have access to continuous cybersecurity educational opportunities throughout the year. Nasdaq also maintains a cybersecurity and information security risk insurance policy, and our Nasdaq Information Security Management System conforms to ISO 27001 requirements and is ISO 27001 certified.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an annual basis, the Information Security team reviews and updates its governance documents, including the Information Security Charter, the Information Security Policy, and the Information Security Program Plan, and then presents the revised documents to the Audit &amp; Risk Committee for review and/or approval. Additionally, the Information Security team maintains a formal cybersecurity strategic three-year plan, which outlines the strategic vision and associated goals for the cybersecurity of our global operations. The plan is regularly updated with new initiatives that align with technology innovations and changes in the threat landscape, and is reviewed and approved by the CISO and the Audit &amp; Risk Committee. Throughout the three-year plan term, the CISO regularly provides management with progress reports.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2. Properties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business operations in leased facilities. We do not own any real property. Our U.S. headquarters are located in New York, New York, and our European headquarters are located in Stockholm, Sweden. We also lease space in multiple locations around the world, which are used for research and development, sales and support, and administrative activities, as well as for data centers and disaster preparedness facilities.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Generally, our properties are not allocated for use by a particular business segment. Instead, most of our properties are used by two or more segments. We regularly monitor the facilities we occupy to ensure that they suit our needs in a hybrid work environment. We believe the facilities that we occupy are adequate for the purposes for which they are currently used and are well-maintained. See Note 16, “Leases,” to the consolidated financial statements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3. Legal Proceedings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“Legal and Regulatory Matters” of Note 18, “Commitments, Contingencies and Guarantees,” to the consolidated financial statements for a description of our legal proceedings, if 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92BC"/>
          <w:sz w:val="20"/>
        </w:rPr>
      </w:pPr>
      <w:r>
        <w:rPr>
          <w:rFonts w:ascii="Times New Roman;sans-serif" w:hAnsi="Times New Roman;sans-serif"/>
          <w:b/>
          <w:color w:val="0092BC"/>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5. Market for Registrant’s Common Equity, Related Stockholder Matters and Issuer Purchases of Equity Securities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Stock Market under the ticker symbol “NDAQ.” As of February 12, 2025, we had approximately 193 holders of record of our common stock.</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“Share Repurchase Program,” of Note 12, “Nasdaq Stockholders’ Equity,” to the consolidated financial statements for further discussion of our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represents repurchases made by or on behalf of us or any “affiliated purchaser” of our common stock during the fiscal quarter ended December 31, 2024:</w:t>
      </w:r>
    </w:p>
    <w:tbl>
      <w:tblPr>
        <w:tblW w:w="10205" w:type="dxa"/>
        <w:jc w:val="left"/>
        <w:tblInd w:w="0" w:type="dxa"/>
        <w:tblLayout w:type="fixed"/>
        <w:tblCellMar>
          <w:top w:w="28" w:type="dxa"/>
          <w:left w:w="28" w:type="dxa"/>
          <w:bottom w:w="28" w:type="dxa"/>
          <w:right w:w="28" w:type="dxa"/>
        </w:tblCellMar>
      </w:tblPr>
      <w:tblGrid>
        <w:gridCol w:w="570"/>
        <w:gridCol w:w="437"/>
        <w:gridCol w:w="445"/>
        <w:gridCol w:w="109"/>
        <w:gridCol w:w="109"/>
        <w:gridCol w:w="109"/>
        <w:gridCol w:w="557"/>
        <w:gridCol w:w="394"/>
        <w:gridCol w:w="396"/>
        <w:gridCol w:w="109"/>
        <w:gridCol w:w="109"/>
        <w:gridCol w:w="109"/>
        <w:gridCol w:w="280"/>
        <w:gridCol w:w="818"/>
        <w:gridCol w:w="144"/>
        <w:gridCol w:w="109"/>
        <w:gridCol w:w="109"/>
        <w:gridCol w:w="109"/>
        <w:gridCol w:w="722"/>
        <w:gridCol w:w="722"/>
        <w:gridCol w:w="724"/>
        <w:gridCol w:w="109"/>
        <w:gridCol w:w="109"/>
        <w:gridCol w:w="109"/>
        <w:gridCol w:w="576"/>
        <w:gridCol w:w="1684"/>
        <w:gridCol w:w="428"/>
      </w:tblGrid>
      <w:tr>
        <w:trPr/>
        <w:tc>
          <w:tcPr>
            <w:tcW w:w="57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4"/>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Maximum Dollar Value of Shares that May Yet Be Purchased Under the Plans or Programs (in millions)</w:t>
            </w:r>
          </w:p>
        </w:tc>
      </w:tr>
      <w:tr>
        <w:trPr/>
        <w:tc>
          <w:tcPr>
            <w:tcW w:w="31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October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r>
      <w:tr>
        <w:trPr/>
        <w:tc>
          <w:tcPr>
            <w:tcW w:w="312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r>
      <w:tr>
        <w:trPr/>
        <w:tc>
          <w:tcPr>
            <w:tcW w:w="3126"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44,463 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20"/>
                <w:u w:val="single"/>
              </w:rPr>
            </w:pPr>
            <w:r>
              <w:rPr>
                <w:rFonts w:ascii="Times New Roman;sans-serif" w:hAnsi="Times New Roman;sans-serif"/>
                <w:b/>
                <w:color w:val="000000"/>
                <w:sz w:val="20"/>
                <w:u w:val="single"/>
              </w:rPr>
              <w:t>Total Quarter Ended December 31, 2024</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59,468 </w:t>
            </w:r>
          </w:p>
        </w:tc>
        <w:tc>
          <w:tcPr>
            <w:tcW w:w="3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78.00 </w:t>
            </w:r>
          </w:p>
        </w:tc>
        <w:tc>
          <w:tcPr>
            <w:tcW w:w="1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In the preceding table: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N/A - Not applicable.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See “Share Repurchase Program,” of Note 12, “Nasdaq Stockholders’ Equity,” to the consolidated financial statements for further discussion of our share repurchase program.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Employee transactions represents shares surrendered to us to satisfy tax withholding obligations arising from the vesting of restricted stock and PSUs previously issued to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00" w:after="283"/>
        <w:jc w:val="both"/>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performance graph and related information shall not be deemed “filed” for purposes of Section 18 of the Exchange Act or incorporated by reference into any of our other filings under the Securities Act or the Exchange Act, except as shall be expressly set forth by specific reference in such filing.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graph compares the total return of our common stock to the Nasdaq Composite Index, the S&amp;P 500 and S&amp;P 500 GICS 4020 Index, our peer group, for the past five years. </w:t>
      </w:r>
    </w:p>
    <w:tbl>
      <w:tblPr>
        <w:tblW w:w="8690" w:type="dxa"/>
        <w:jc w:val="left"/>
        <w:tblInd w:w="0" w:type="dxa"/>
        <w:tblLayout w:type="fixed"/>
        <w:tblCellMar>
          <w:top w:w="28" w:type="dxa"/>
          <w:left w:w="28" w:type="dxa"/>
          <w:bottom w:w="28" w:type="dxa"/>
          <w:right w:w="28" w:type="dxa"/>
        </w:tblCellMar>
      </w:tblPr>
      <w:tblGrid>
        <w:gridCol w:w="830"/>
        <w:gridCol w:w="730"/>
        <w:gridCol w:w="734"/>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 Index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S&amp;P 500 GICS 4020 Index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figures represented below assume an initial investment of $100 in the common stock or index at the closing price on December 31, 2019 and the reinvestment of all dividends.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COMPARISON OF 5 YEAR CUMULATIVE TOTAL RETURN</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Among Nasdaq, Inc., the Nasdaq Composite Index, the S&amp;P 500 and S&amp;P 500 GICS 4020 Index</w:t>
      </w:r>
    </w:p>
    <w:p>
      <w:pPr>
        <w:pStyle w:val="TextBody"/>
        <w:bidi w:val="0"/>
        <w:spacing w:before="120" w:after="283"/>
        <w:jc w:val="center"/>
        <w:rPr/>
      </w:pPr>
      <w:r>
        <w:rPr/>
      </w:r>
    </w:p>
    <w:p>
      <w:pPr>
        <w:pStyle w:val="TextBody"/>
        <w:bidi w:val="0"/>
        <w:spacing w:before="120" w:after="283"/>
        <w:jc w:val="center"/>
        <w:rPr/>
      </w:pPr>
      <w:r>
        <w:rPr/>
        <w:drawing>
          <wp:inline distT="0" distB="0" distL="0" distR="0">
            <wp:extent cx="5715000" cy="3571875"/>
            <wp:effectExtent l="0" t="0" r="0" b="0"/>
            <wp:docPr id="4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5" descr=""/>
                    <pic:cNvPicPr>
                      <a:picLocks noChangeAspect="1" noChangeArrowheads="1"/>
                    </pic:cNvPicPr>
                  </pic:nvPicPr>
                  <pic:blipFill>
                    <a:blip r:embed="rId6"/>
                    <a:stretch>
                      <a:fillRect/>
                    </a:stretch>
                  </pic:blipFill>
                  <pic:spPr bwMode="auto">
                    <a:xfrm>
                      <a:off x="0" y="0"/>
                      <a:ext cx="5715000" cy="3571875"/>
                    </a:xfrm>
                    <a:prstGeom prst="rect">
                      <a:avLst/>
                    </a:prstGeom>
                  </pic:spPr>
                </pic:pic>
              </a:graphicData>
            </a:graphic>
          </wp:inline>
        </w:drawing>
      </w:r>
    </w:p>
    <w:p>
      <w:pPr>
        <w:pStyle w:val="TextBody"/>
        <w:bidi w:val="0"/>
        <w:spacing w:before="120" w:after="283"/>
        <w:jc w:val="left"/>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00" w:after="283"/>
        <w:jc w:val="both"/>
        <w:rPr/>
      </w:pPr>
      <w:r>
        <w:rPr/>
      </w:r>
    </w:p>
    <w:p>
      <w:pPr>
        <w:pStyle w:val="TextBody"/>
        <w:bidi w:val="0"/>
        <w:spacing w:lineRule="auto" w:line="288" w:before="120" w:after="283"/>
        <w:jc w:val="left"/>
        <w:rPr/>
      </w:pPr>
      <w:r>
        <w:rPr>
          <w:rFonts w:ascii="Times New Roman;sans-serif" w:hAnsi="Times New Roman;sans-serif"/>
          <w:b/>
          <w:color w:val="0092BC"/>
          <w:sz w:val="20"/>
        </w:rPr>
        <w:t xml:space="preserve">Item 6. </w:t>
      </w:r>
      <w:r>
        <w:rPr>
          <w:rFonts w:ascii="Times New Roman;sans-serif" w:hAnsi="Times New Roman;sans-serif"/>
          <w:b w:val="false"/>
          <w:color w:val="0092BC"/>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7. Management’s Discussion and Analysis of Financial Condition and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the financial condition and results of operations of Nasdaq refers to the year over year comparison for the fiscal years ended December 31, 2024 and 2023 and should be read in conjunction with our consolidated financial statements and related notes included in this Form 10-K, as well as the discussion under “Part I, Item 1A. Risk Factors.” For further discussion of our growth strategy, products and services, and competitive strengths, see “Part I, Item 1. Business.” For a similar discussion comparing the fiscal years ended December 31, 2023 and 2022, refer to “Part II, Item 7. Management’s Discussion and Analysis of Financial Condition and Results of Operations” of our Annual Report on Form 10-K for the fiscal year ended December 31, 2023, which was previously filed with the SEC on February 21,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period over period percentages below are calculated based on exact dollars, and therefore may not recalculate exactly using rounded numbers as presented in millions in the tables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is a global technology company serving corporate clients, investment managers, banks, brokers, and exchange operators as they navigate and interact with the global capital markets and the broader financial system. We aspire to deliver world-leading platforms that improve the liquidity, transparency, and integrity of the global economy. Our diverse offering of data, analytics, software, exchange capabilities, and client-centric services enables clients to optimize and execute their business vision with confidence.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operate and provide our products and services in three business segments: Capital Access Platforms, Financial Technology and Market Services.</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2024 Highlights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Throughout 2024, Nasdaq substantially completed the integration of AxiomSL and Calypso.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In 2024, our Financial Technology segment delivered more than 10% ARR growth, reflecting an increase in new clients, cross-sells and upsells.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Nasdaq extended listing leadership in 2024 with its sixth consecutive year as the top U.S. exchange by number of IPOs and proceeds raised.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 2024, Nasdaq achieved an 82% win rate among Nasdaq-eligible IPOs in the U.S., representing 180 deals and $23 billion in total proceeds raised.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 2024, our Index business had $80 billion of net inflows, including $28 billion in the fourth quarter, and reported its fifth consecutive record quarter in ETP AUM, reaching $647 billion as of December 31, 2024. In addition, the Index business launched a record 116 new products with its clients.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 2024, our Market Services segment achieved record net revenue. The Closing Cross set full year records in both share volume and notional value traded.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Macroeconomic environment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performance can be positively or negatively impacted by a number of factors, including general economic conditions, current or expected inflation, interest rate fluctuations, market volatility, changes in investment patterns and priorities, regulatory changes, pandemics and other factors that are generally beyond our control. For example, higher overall U.S. trading volumes in 2024 as compared to 2023 has led to an increase in our U.S. Equity Derivative Trading and U.S. Cash Equity Trading revenues. Market factors also contributed to higher valuations in Nasdaq Indices. In our corporate solutions business, we managed through market challenges, as corporate buying cycles remained elongated throughout the year. To the extent that global or national economic conditions weaken and result in slower growth or recessions, our business may be negatively impacted. See “Part I, Item 1A. Risk Factors” 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color w:val="000000"/>
          <w:sz w:val="20"/>
        </w:rPr>
        <w:t>Nasdaq</w:t>
      </w:r>
      <w:r>
        <w:rPr>
          <w:color w:val="000000"/>
        </w:rPr>
        <w:t>’</w:t>
      </w:r>
      <w:r>
        <w:rPr>
          <w:rFonts w:ascii="Times New Roman;sans-serif" w:hAnsi="Times New Roman;sans-serif"/>
          <w:b/>
          <w:color w:val="000000"/>
          <w:sz w:val="20"/>
        </w:rPr>
        <w:t>s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financial performance for the year ended December 31, 2024 compared to the same period in 2023 and for the year ended December 31, 2023 compared to the same period in 2022. The comparability of our results of operations between reported periods is impacted by the acquisition of Adenza in November 2023. See Note 4, “Acquisition,” to the consolidated financial statements for further discussion. For a detailed discussion of our results of operations, see “Segment Operating Results” below.</w:t>
      </w:r>
    </w:p>
    <w:tbl>
      <w:tblPr>
        <w:tblW w:w="8758" w:type="dxa"/>
        <w:jc w:val="left"/>
        <w:tblInd w:w="0" w:type="dxa"/>
        <w:tblLayout w:type="fixed"/>
        <w:tblCellMar>
          <w:top w:w="28" w:type="dxa"/>
          <w:left w:w="28" w:type="dxa"/>
          <w:bottom w:w="28" w:type="dxa"/>
          <w:right w:w="28" w:type="dxa"/>
        </w:tblCellMar>
      </w:tblPr>
      <w:tblGrid>
        <w:gridCol w:w="1156"/>
        <w:gridCol w:w="1017"/>
        <w:gridCol w:w="102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3"/>
        <w:gridCol w:w="233"/>
        <w:gridCol w:w="502"/>
        <w:gridCol w:w="254"/>
        <w:gridCol w:w="212"/>
        <w:gridCol w:w="565"/>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326" w:type="dxa"/>
            <w:gridSpan w:val="9"/>
            <w:tcBorders/>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6"/>
            <w:tcBorders/>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6"/>
            <w:tcBorders/>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color w:val="000000"/>
              </w:rPr>
            </w:pPr>
            <w:r>
              <w:rPr>
                <w:color w:val="000000"/>
              </w:rPr>
              <w:t> </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less transaction-based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Nasdaq</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countries with currencies other than the U.S. dollar, revenues and expenses are translated using monthly average exchange rates. Impacts on our revenues less transaction-based expenses and operating income associated with fluctuations in foreign currency are discussed in more detail under “Item 7A.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chart summarizes our ARR (in millions): </w:t>
      </w:r>
    </w:p>
    <w:p>
      <w:pPr>
        <w:pStyle w:val="TextBody"/>
        <w:bidi w:val="0"/>
        <w:spacing w:before="120" w:after="283"/>
        <w:jc w:val="center"/>
        <w:rPr/>
      </w:pPr>
      <w:r>
        <w:rPr/>
        <w:drawing>
          <wp:inline distT="0" distB="0" distL="0" distR="0">
            <wp:extent cx="3143250" cy="3429000"/>
            <wp:effectExtent l="0" t="0" r="0" b="0"/>
            <wp:docPr id="4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 descr=""/>
                    <pic:cNvPicPr>
                      <a:picLocks noChangeAspect="1" noChangeArrowheads="1"/>
                    </pic:cNvPicPr>
                  </pic:nvPicPr>
                  <pic:blipFill>
                    <a:blip r:embed="rId7"/>
                    <a:stretch>
                      <a:fillRect/>
                    </a:stretch>
                  </pic:blipFill>
                  <pic:spPr bwMode="auto">
                    <a:xfrm>
                      <a:off x="0" y="0"/>
                      <a:ext cx="3143250" cy="3429000"/>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ARR for a given period is the current annualized value derived from subscription contracts with a defined contract value. This excludes contracts that are not recurring, are one-time in nature, or where the contract value fluctuates based on defined metrics. ARR is currently one of our key performance metrics to assess the health and trajectory of our recurring business. ARR does not have any standardized definition and is therefore unlikely to be comparable to similarly titled measures presented by other companies. ARR should be viewed independently of revenue and deferred revenue and is not intended to be combined with or to replace either of those items. For AxiomSL and Calypso recurring revenue contracts, the amount included in ARR is consistent with the amount that we invoice the customer during the current period. Additionally, for AxiomSL and Calypso recurring revenue contracts that include annual values that increase over time, we include in ARR only the annualized value of components of the contract that are considered active as of the date of the ARR calculation. We do not include the future committed increases in the contract value as of the date of the ARR calculation. ARR is not a forecast and the active contracts at the end of a reporting period used in calculating ARR may or may not be extended or renewed by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ARR chart includes:</w:t>
      </w:r>
    </w:p>
    <w:tbl>
      <w:tblPr>
        <w:tblW w:w="10166" w:type="dxa"/>
        <w:jc w:val="left"/>
        <w:tblInd w:w="0" w:type="dxa"/>
        <w:tblLayout w:type="fixed"/>
        <w:tblCellMar>
          <w:top w:w="28" w:type="dxa"/>
          <w:left w:w="28" w:type="dxa"/>
          <w:bottom w:w="28" w:type="dxa"/>
          <w:right w:w="28" w:type="dxa"/>
        </w:tblCellMar>
      </w:tblPr>
      <w:tblGrid>
        <w:gridCol w:w="124"/>
        <w:gridCol w:w="109"/>
        <w:gridCol w:w="109"/>
        <w:gridCol w:w="335"/>
        <w:gridCol w:w="335"/>
        <w:gridCol w:w="335"/>
        <w:gridCol w:w="2550"/>
        <w:gridCol w:w="2550"/>
        <w:gridCol w:w="37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color w:val="0092BC"/>
              </w:rPr>
            </w:pPr>
            <w:r>
              <w:rPr>
                <w:color w:val="0092BC"/>
              </w:rPr>
              <w:t>▪</w:t>
            </w:r>
          </w:p>
        </w:tc>
        <w:tc>
          <w:tcPr>
            <w:tcW w:w="982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Access Platforms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color w:val="0092BC"/>
              </w:rPr>
            </w:pPr>
            <w:r>
              <w:rPr>
                <w:color w:val="0092BC"/>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market data subscriptions and annual listing fees within our Data &amp; Listing Services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color w:val="0092BC"/>
              </w:rPr>
            </w:pPr>
            <w:r>
              <w:rPr>
                <w:color w:val="0092BC"/>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Index data subscriptions and guaranteed minimum on futures contracts within our Index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color w:val="0092BC"/>
              </w:rPr>
            </w:pPr>
            <w:r>
              <w:rPr>
                <w:color w:val="0092BC"/>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contracts under our Workflow &amp; Insights business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color w:val="8050ED"/>
              </w:rPr>
            </w:pPr>
            <w:r>
              <w:rPr>
                <w:color w:val="8050ED"/>
              </w:rPr>
              <w:t>▪</w:t>
            </w:r>
          </w:p>
        </w:tc>
        <w:tc>
          <w:tcPr>
            <w:tcW w:w="9824"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Technology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color w:val="8050ED"/>
              </w:rPr>
            </w:pPr>
            <w:r>
              <w:rPr>
                <w:color w:val="8050ED"/>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Crime Management Technology SaaS subscription contracts excluding one-time service requests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color w:val="8050ED"/>
              </w:rPr>
            </w:pPr>
            <w:r>
              <w:rPr>
                <w:color w:val="8050ED"/>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Technology SaaS subscription and support contracts excluding one-time service requests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color w:val="8050ED"/>
              </w:rPr>
            </w:pPr>
            <w:r>
              <w:rPr>
                <w:color w:val="8050ED"/>
              </w:rPr>
              <w:t>◦</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Markets Technology SaaS subscription and support contracts excluding one-time service requests</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summarizes our quarterly annualized SaaS revenues for Solutions, which comprises our Capital Access Platforms and Financial Technology segments, for December 31, 2024, 2023 and 2022 (in millions):</w:t>
      </w:r>
    </w:p>
    <w:p>
      <w:pPr>
        <w:pStyle w:val="TextBody"/>
        <w:bidi w:val="0"/>
        <w:spacing w:before="0" w:after="0"/>
        <w:jc w:val="center"/>
        <w:rPr/>
      </w:pPr>
      <w:r>
        <w:rPr/>
        <w:drawing>
          <wp:inline distT="0" distB="0" distL="0" distR="0">
            <wp:extent cx="3143250" cy="3571875"/>
            <wp:effectExtent l="0" t="0" r="0" b="0"/>
            <wp:docPr id="4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7" descr=""/>
                    <pic:cNvPicPr>
                      <a:picLocks noChangeAspect="1" noChangeArrowheads="1"/>
                    </pic:cNvPicPr>
                  </pic:nvPicPr>
                  <pic:blipFill>
                    <a:blip r:embed="rId8"/>
                    <a:stretch>
                      <a:fillRect/>
                    </a:stretch>
                  </pic:blipFill>
                  <pic:spPr bwMode="auto">
                    <a:xfrm>
                      <a:off x="0" y="0"/>
                      <a:ext cx="3143250" cy="35718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SEGMENT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revenues by segment:</w:t>
      </w:r>
    </w:p>
    <w:tbl>
      <w:tblPr>
        <w:tblW w:w="9162" w:type="dxa"/>
        <w:jc w:val="left"/>
        <w:tblInd w:w="0" w:type="dxa"/>
        <w:tblLayout w:type="fixed"/>
        <w:tblCellMar>
          <w:top w:w="28" w:type="dxa"/>
          <w:left w:w="28" w:type="dxa"/>
          <w:bottom w:w="28" w:type="dxa"/>
          <w:right w:w="28" w:type="dxa"/>
        </w:tblCellMar>
      </w:tblPr>
      <w:tblGrid>
        <w:gridCol w:w="1245"/>
        <w:gridCol w:w="1093"/>
        <w:gridCol w:w="1097"/>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78"/>
        <w:gridCol w:w="278"/>
        <w:gridCol w:w="502"/>
        <w:gridCol w:w="294"/>
        <w:gridCol w:w="246"/>
        <w:gridCol w:w="565"/>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6"/>
            <w:tcBorders/>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6"/>
            <w:tcBorders/>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Access Platforms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Technology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Services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rebates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Brokerage, clearance and exchange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 less transaction-based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chart presents our Capital Access Platforms, Financial Technology and Market Services segments as a percentage of our total revenues, less transaction-based expenses. </w:t>
      </w:r>
    </w:p>
    <w:p>
      <w:pPr>
        <w:pStyle w:val="TextBody"/>
        <w:bidi w:val="0"/>
        <w:spacing w:before="0" w:after="0"/>
        <w:jc w:val="both"/>
        <w:rPr/>
      </w:pPr>
      <w:r>
        <w:rPr/>
        <w:drawing>
          <wp:inline distT="0" distB="0" distL="0" distR="0">
            <wp:extent cx="3143250" cy="3571875"/>
            <wp:effectExtent l="0" t="0" r="0" b="0"/>
            <wp:docPr id="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8" descr=""/>
                    <pic:cNvPicPr>
                      <a:picLocks noChangeAspect="1" noChangeArrowheads="1"/>
                    </pic:cNvPicPr>
                  </pic:nvPicPr>
                  <pic:blipFill>
                    <a:blip r:embed="rId9"/>
                    <a:stretch>
                      <a:fillRect/>
                    </a:stretch>
                  </pic:blipFill>
                  <pic:spPr bwMode="auto">
                    <a:xfrm>
                      <a:off x="0" y="0"/>
                      <a:ext cx="3143250" cy="35718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Capital Access Platforms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revenues and ARR from our Capital Access Platforms segment:</w:t>
      </w:r>
    </w:p>
    <w:tbl>
      <w:tblPr>
        <w:tblW w:w="8411" w:type="dxa"/>
        <w:jc w:val="left"/>
        <w:tblInd w:w="0" w:type="dxa"/>
        <w:tblLayout w:type="fixed"/>
        <w:tblCellMar>
          <w:top w:w="28" w:type="dxa"/>
          <w:left w:w="28" w:type="dxa"/>
          <w:bottom w:w="28" w:type="dxa"/>
          <w:right w:w="28" w:type="dxa"/>
        </w:tblCellMar>
      </w:tblPr>
      <w:tblGrid>
        <w:gridCol w:w="944"/>
        <w:gridCol w:w="831"/>
        <w:gridCol w:w="83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59"/>
        <w:gridCol w:w="252"/>
        <w:gridCol w:w="517"/>
        <w:gridCol w:w="203"/>
        <w:gridCol w:w="203"/>
        <w:gridCol w:w="579"/>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6"/>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6"/>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&amp; Listing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Workflow &amp; Insights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Access Platforms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5408"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As of December 31,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Data &amp; Listing Services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key drivers from our Data &amp; Listing Services business:</w:t>
      </w:r>
    </w:p>
    <w:tbl>
      <w:tblPr>
        <w:tblW w:w="8214" w:type="dxa"/>
        <w:jc w:val="left"/>
        <w:tblInd w:w="0" w:type="dxa"/>
        <w:tblLayout w:type="fixed"/>
        <w:tblCellMar>
          <w:top w:w="28" w:type="dxa"/>
          <w:left w:w="28" w:type="dxa"/>
          <w:bottom w:w="28" w:type="dxa"/>
          <w:right w:w="28" w:type="dxa"/>
        </w:tblCellMar>
      </w:tblPr>
      <w:tblGrid>
        <w:gridCol w:w="1780"/>
        <w:gridCol w:w="1556"/>
        <w:gridCol w:w="1583"/>
        <w:gridCol w:w="109"/>
        <w:gridCol w:w="109"/>
        <w:gridCol w:w="109"/>
        <w:gridCol w:w="308"/>
        <w:gridCol w:w="308"/>
        <w:gridCol w:w="136"/>
        <w:gridCol w:w="109"/>
        <w:gridCol w:w="109"/>
        <w:gridCol w:w="109"/>
        <w:gridCol w:w="308"/>
        <w:gridCol w:w="308"/>
        <w:gridCol w:w="136"/>
        <w:gridCol w:w="109"/>
        <w:gridCol w:w="109"/>
        <w:gridCol w:w="109"/>
        <w:gridCol w:w="308"/>
        <w:gridCol w:w="308"/>
        <w:gridCol w:w="194"/>
      </w:tblGrid>
      <w:tr>
        <w:trPr/>
        <w:tc>
          <w:tcPr>
            <w:tcW w:w="178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2216" w:type="dxa"/>
            <w:gridSpan w:val="12"/>
            <w:tcBorders/>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Exchanges that comprise Nasdaq Nordic and Nasdaq Baltic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Total new listings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Exchanges that comprise Nasdaq Nordic and Nasdaq Baltic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As of December 31,</w:t>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Number of listed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Exchanges that comprise Nasdaq Nordic and Nasdaq Baltic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For the years ended December 31, 2024, 2023 and 2022, IPOs included 50, 27 and 74 SPACs, respectively. The number of total listed companies on The Nasdaq Stock Market for the years ended December 31, 2024, 2023 and 2022 included 768, 600 and 528 ETPs, respectively.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IPOs, new listings (which includes IPOs) and total listed companies for exchanges that comprise Nasdaq Nordic and Nasdaq Baltic represent companies listed on the Nasdaq Nordic and Nasdaq Baltic exchanges and companies listed on the alternative markets of Nasdaq First North.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Data &amp; Listing Services revenues increased in 2024 compared with the same period in 2023 as higher data usage, price increases on regulated data, higher initial listing fees and new data sales were partially offset by lower annual fees due to the impact of 2023 delistings and downgrades and lower amortization of prior period initial listing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Index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drivers from our Index business:</w:t>
      </w:r>
    </w:p>
    <w:tbl>
      <w:tblPr>
        <w:tblW w:w="9668" w:type="dxa"/>
        <w:jc w:val="left"/>
        <w:tblInd w:w="0" w:type="dxa"/>
        <w:tblLayout w:type="fixed"/>
        <w:tblCellMar>
          <w:top w:w="28" w:type="dxa"/>
          <w:left w:w="28" w:type="dxa"/>
          <w:bottom w:w="28" w:type="dxa"/>
          <w:right w:w="28" w:type="dxa"/>
        </w:tblCellMar>
      </w:tblPr>
      <w:tblGrid>
        <w:gridCol w:w="1910"/>
        <w:gridCol w:w="1677"/>
        <w:gridCol w:w="1693"/>
        <w:gridCol w:w="158"/>
        <w:gridCol w:w="158"/>
        <w:gridCol w:w="158"/>
        <w:gridCol w:w="306"/>
        <w:gridCol w:w="677"/>
        <w:gridCol w:w="158"/>
        <w:gridCol w:w="158"/>
        <w:gridCol w:w="158"/>
        <w:gridCol w:w="158"/>
        <w:gridCol w:w="306"/>
        <w:gridCol w:w="677"/>
        <w:gridCol w:w="158"/>
        <w:gridCol w:w="109"/>
        <w:gridCol w:w="109"/>
        <w:gridCol w:w="109"/>
        <w:gridCol w:w="211"/>
        <w:gridCol w:w="466"/>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As of or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licensed ETPs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r>
      <w:tr>
        <w:trPr/>
        <w:tc>
          <w:tcPr>
            <w:tcW w:w="851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TTM change in period end ETP AUM tracking Nasdaq indices (in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Net appreciation (depreciation)</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impact of ETP sponsor switches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inflows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Annual average ETP AUM tracking Nasdaq indices (in billions)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 (in millions)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table above, TTM represents trailing twelve months. The number of listed ETPs as of December 31, 2023 and 2022 has been updated to reflect a revised methodology whereby an ETP listed on multiple exchanges is counted as one product, rather than formerly being counted per exchange. This change has no impact on reported AUM.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Index revenues increased in 2024 compared with the same period in 2023 primarily due to higher AUM in exchange traded products linked to Nasdaq indices and growth in trading volume on futures contracts linked to the Nasdaq-100 Index. The increase in 2024 also includes a $16 million one-time item related to a legal settlement to recoup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Workflow &amp; Insights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drivers from our Workflow &amp; Insights business:</w:t>
      </w:r>
    </w:p>
    <w:tbl>
      <w:tblPr>
        <w:tblW w:w="6086" w:type="dxa"/>
        <w:jc w:val="left"/>
        <w:tblInd w:w="0" w:type="dxa"/>
        <w:tblLayout w:type="fixed"/>
        <w:tblCellMar>
          <w:top w:w="28" w:type="dxa"/>
          <w:left w:w="28" w:type="dxa"/>
          <w:bottom w:w="28" w:type="dxa"/>
          <w:right w:w="28" w:type="dxa"/>
        </w:tblCellMar>
      </w:tblPr>
      <w:tblGrid>
        <w:gridCol w:w="1092"/>
        <w:gridCol w:w="961"/>
        <w:gridCol w:w="976"/>
        <w:gridCol w:w="211"/>
        <w:gridCol w:w="466"/>
        <w:gridCol w:w="109"/>
        <w:gridCol w:w="109"/>
        <w:gridCol w:w="109"/>
        <w:gridCol w:w="109"/>
        <w:gridCol w:w="211"/>
        <w:gridCol w:w="466"/>
        <w:gridCol w:w="109"/>
        <w:gridCol w:w="109"/>
        <w:gridCol w:w="109"/>
        <w:gridCol w:w="109"/>
        <w:gridCol w:w="211"/>
        <w:gridCol w:w="46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As of or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annualized SaaS revenues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Workflow &amp; Insights revenues increased in 2024 compared with the same period in 2023 primarily due to an increase in analytics revenue, particularly our Data Link and eVestment product offerings.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Financial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revenues from our Financial Technology segment:</w:t>
      </w:r>
    </w:p>
    <w:tbl>
      <w:tblPr>
        <w:tblW w:w="8847" w:type="dxa"/>
        <w:jc w:val="left"/>
        <w:tblInd w:w="0" w:type="dxa"/>
        <w:tblLayout w:type="fixed"/>
        <w:tblCellMar>
          <w:top w:w="28" w:type="dxa"/>
          <w:left w:w="28" w:type="dxa"/>
          <w:bottom w:w="28" w:type="dxa"/>
          <w:right w:w="28" w:type="dxa"/>
        </w:tblCellMar>
      </w:tblPr>
      <w:tblGrid>
        <w:gridCol w:w="1117"/>
        <w:gridCol w:w="983"/>
        <w:gridCol w:w="990"/>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55"/>
        <w:gridCol w:w="256"/>
        <w:gridCol w:w="517"/>
        <w:gridCol w:w="255"/>
        <w:gridCol w:w="256"/>
        <w:gridCol w:w="579"/>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445" w:type="dxa"/>
            <w:gridSpan w:val="9"/>
            <w:tcBorders/>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31" w:type="dxa"/>
            <w:gridSpan w:val="12"/>
            <w:tcBorders/>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Financial Crime Management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Regulatory 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Capital Markets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Financial Technology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Crime Management Technology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drivers for our Financial Crime Management Technology business:</w:t>
      </w:r>
    </w:p>
    <w:tbl>
      <w:tblPr>
        <w:tblW w:w="7208" w:type="dxa"/>
        <w:jc w:val="left"/>
        <w:tblInd w:w="0" w:type="dxa"/>
        <w:tblLayout w:type="fixed"/>
        <w:tblCellMar>
          <w:top w:w="28" w:type="dxa"/>
          <w:left w:w="28" w:type="dxa"/>
          <w:bottom w:w="28" w:type="dxa"/>
          <w:right w:w="28" w:type="dxa"/>
        </w:tblCellMar>
      </w:tblPr>
      <w:tblGrid>
        <w:gridCol w:w="1386"/>
        <w:gridCol w:w="1217"/>
        <w:gridCol w:w="1221"/>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As of or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 and Quarterly annualized SaaS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Crime Management Technology revenues increased in 2024 compared with the same period in 2023 primarily due to revenue recognition from the full year impact of contracts signed in 2023, including higher value contracts, new sales and price increases to existing clients and new customer acquisitions, particularly small and medium-sized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Technology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drivers for our Regulatory Technology business:</w:t>
      </w:r>
    </w:p>
    <w:tbl>
      <w:tblPr>
        <w:tblW w:w="6413" w:type="dxa"/>
        <w:jc w:val="left"/>
        <w:tblInd w:w="0" w:type="dxa"/>
        <w:tblLayout w:type="fixed"/>
        <w:tblCellMar>
          <w:top w:w="28" w:type="dxa"/>
          <w:left w:w="28" w:type="dxa"/>
          <w:bottom w:w="28" w:type="dxa"/>
          <w:right w:w="28" w:type="dxa"/>
        </w:tblCellMar>
      </w:tblPr>
      <w:tblGrid>
        <w:gridCol w:w="1092"/>
        <w:gridCol w:w="961"/>
        <w:gridCol w:w="976"/>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As of or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annualized SaaS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Technology revenues increased in 2024 compared with the same period in 2023 primarily due to the inclusion of revenues from AxiomSL associated with our acquisition of Adenza and higher surveillance revenues, partially offset by a one-time revenue reduction recognized in the third quarter of 2024 related to a purchase accounting adjustment. See Note 3, “Revenue from Contracts with Customers,” to the consolidated financial statements for discussion on the measurement period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Capital Markets Technology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drivers for our Capital Markets Technology business:</w:t>
      </w:r>
    </w:p>
    <w:tbl>
      <w:tblPr>
        <w:tblW w:w="6413" w:type="dxa"/>
        <w:jc w:val="left"/>
        <w:tblInd w:w="0" w:type="dxa"/>
        <w:tblLayout w:type="fixed"/>
        <w:tblCellMar>
          <w:top w:w="28" w:type="dxa"/>
          <w:left w:w="28" w:type="dxa"/>
          <w:bottom w:w="28" w:type="dxa"/>
          <w:right w:w="28" w:type="dxa"/>
        </w:tblCellMar>
      </w:tblPr>
      <w:tblGrid>
        <w:gridCol w:w="1092"/>
        <w:gridCol w:w="961"/>
        <w:gridCol w:w="976"/>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As of or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annualized SaaS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ans-serif" w:hAnsi="Times New Roman;sans-serif"/>
          <w:b w:val="false"/>
          <w:color w:val="000000"/>
          <w:sz w:val="20"/>
        </w:rPr>
        <w:t>Capital Markets Technology revenues increased in 2024 compared with the same period in 2023. The increase was primarily due to the inclusion of revenues from Calypso associated with our acquisition of Adenza. The increase was also driven by higher trade management services revenues mainly driven by demand for additional colocation and connectivity services following our recent data center expansion and higher market technology license and support revenues, partially offset by lower market technology professional services revenue due to a large project delivery in the comparable period in 2023</w:t>
      </w:r>
      <w:r>
        <w:rPr>
          <w:rFonts w:ascii="Times New Roman;sans-serif" w:hAnsi="Times New Roman;sans-serif"/>
          <w:b w:val="false"/>
          <w:color w:val="08082A"/>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Market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revenues from our Market Services segment:</w:t>
      </w:r>
    </w:p>
    <w:tbl>
      <w:tblPr>
        <w:tblW w:w="9012" w:type="dxa"/>
        <w:jc w:val="left"/>
        <w:tblInd w:w="0" w:type="dxa"/>
        <w:tblLayout w:type="fixed"/>
        <w:tblCellMar>
          <w:top w:w="28" w:type="dxa"/>
          <w:left w:w="28" w:type="dxa"/>
          <w:bottom w:w="28" w:type="dxa"/>
          <w:right w:w="28" w:type="dxa"/>
        </w:tblCellMar>
      </w:tblPr>
      <w:tblGrid>
        <w:gridCol w:w="1060"/>
        <w:gridCol w:w="928"/>
        <w:gridCol w:w="93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07"/>
        <w:gridCol w:w="309"/>
        <w:gridCol w:w="517"/>
        <w:gridCol w:w="293"/>
        <w:gridCol w:w="293"/>
        <w:gridCol w:w="579"/>
      </w:tblGrid>
      <w:tr>
        <w:trPr/>
        <w:tc>
          <w:tcPr>
            <w:tcW w:w="10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8" w:type="dxa"/>
            <w:gridSpan w:val="6"/>
            <w:tcBorders/>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8" w:type="dxa"/>
            <w:gridSpan w:val="6"/>
            <w:tcBorders/>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8" w:type="dxa"/>
            <w:gridSpan w:val="6"/>
            <w:tcBorders/>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25" w:type="dxa"/>
            <w:gridSpan w:val="9"/>
            <w:tcBorders/>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Market Services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2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Transaction-based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rebates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Brokerage, clearance and exchange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 Services,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revenues by product from our Market Services segment:</w:t>
      </w:r>
    </w:p>
    <w:tbl>
      <w:tblPr>
        <w:tblW w:w="7989" w:type="dxa"/>
        <w:jc w:val="left"/>
        <w:tblInd w:w="0" w:type="dxa"/>
        <w:tblLayout w:type="fixed"/>
        <w:tblCellMar>
          <w:top w:w="28" w:type="dxa"/>
          <w:left w:w="28" w:type="dxa"/>
          <w:bottom w:w="28" w:type="dxa"/>
          <w:right w:w="28" w:type="dxa"/>
        </w:tblCellMar>
      </w:tblPr>
      <w:tblGrid>
        <w:gridCol w:w="847"/>
        <w:gridCol w:w="743"/>
        <w:gridCol w:w="74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96"/>
        <w:gridCol w:w="289"/>
        <w:gridCol w:w="517"/>
        <w:gridCol w:w="239"/>
        <w:gridCol w:w="241"/>
        <w:gridCol w:w="579"/>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1" w:type="dxa"/>
            <w:gridSpan w:val="6"/>
            <w:tcBorders/>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1" w:type="dxa"/>
            <w:gridSpan w:val="6"/>
            <w:tcBorders/>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Equity Derivative Trading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Equity Trading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Tape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 Services,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preceding table, Other includes Nordic fixed income trading &amp; clearing, Nordic derivatives and Canadian cash equities trading.</w:t>
      </w:r>
    </w:p>
    <w:p>
      <w:pPr>
        <w:pStyle w:val="TextBody"/>
        <w:bidi w:val="0"/>
        <w:spacing w:lineRule="auto" w:line="288" w:before="120" w:after="283"/>
        <w:ind w:left="0" w:right="0" w:hanging="450"/>
        <w:jc w:val="both"/>
        <w:rPr>
          <w:rFonts w:ascii="Times New Roman;sans-serif" w:hAnsi="Times New Roman;sans-serif"/>
          <w:b/>
          <w:i/>
          <w:color w:val="000000"/>
          <w:sz w:val="20"/>
        </w:rPr>
      </w:pPr>
      <w:r>
        <w:rPr>
          <w:rFonts w:ascii="Times New Roman;sans-serif" w:hAnsi="Times New Roman;sans-serif"/>
          <w:b/>
          <w:i/>
          <w:color w:val="000000"/>
          <w:sz w:val="20"/>
        </w:rPr>
        <w:t xml:space="preserve">U.S. Equity Derivative Trading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total revenues, transaction-based expenses, and total revenues less transaction-based expenses as well as key drivers from our U.S. Equity Derivative Trading business:</w:t>
      </w:r>
    </w:p>
    <w:tbl>
      <w:tblPr>
        <w:tblW w:w="9430" w:type="dxa"/>
        <w:jc w:val="left"/>
        <w:tblInd w:w="0" w:type="dxa"/>
        <w:tblLayout w:type="fixed"/>
        <w:tblCellMar>
          <w:top w:w="28" w:type="dxa"/>
          <w:left w:w="28" w:type="dxa"/>
          <w:bottom w:w="28" w:type="dxa"/>
          <w:right w:w="28" w:type="dxa"/>
        </w:tblCellMar>
      </w:tblPr>
      <w:tblGrid>
        <w:gridCol w:w="1222"/>
        <w:gridCol w:w="1072"/>
        <w:gridCol w:w="108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91"/>
        <w:gridCol w:w="294"/>
        <w:gridCol w:w="517"/>
        <w:gridCol w:w="293"/>
        <w:gridCol w:w="293"/>
        <w:gridCol w:w="579"/>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94" w:type="dxa"/>
            <w:gridSpan w:val="9"/>
            <w:tcBorders/>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Equity Derivative Trading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Section 31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7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Transaction-based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rebates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6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Section 31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Brokerage and clearance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U.S. Equity Derivative Trading 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31 fees are recorded as U.S. equity derivative and cash equity trading revenues with a corresponding amount recorded in transaction-based expenses. We are assessed these fees from the SEC and pass them through to our customers in the form of incremental fees. Pass-through fees can increase or decrease due to rate changes by the SEC, our percentage of the overall industry volumes processed on our systems, and differences in actual dollar value traded. Section 31 fees increased in 2024 compared with the same period in 2023 primarily due to higher average SEC fee rates as a result of an increase in the SEC fee rate in May 2024. Since the amount recorded in revenues is equal to the amount recorded as Section 31 fees, there is no impact on our net revenues. </w:t>
      </w:r>
    </w:p>
    <w:tbl>
      <w:tblPr>
        <w:tblW w:w="7485" w:type="dxa"/>
        <w:jc w:val="left"/>
        <w:tblInd w:w="0" w:type="dxa"/>
        <w:tblLayout w:type="fixed"/>
        <w:tblCellMar>
          <w:top w:w="28" w:type="dxa"/>
          <w:left w:w="28" w:type="dxa"/>
          <w:bottom w:w="28" w:type="dxa"/>
          <w:right w:w="28" w:type="dxa"/>
        </w:tblCellMar>
      </w:tblPr>
      <w:tblGrid>
        <w:gridCol w:w="1609"/>
        <w:gridCol w:w="1408"/>
        <w:gridCol w:w="1423"/>
        <w:gridCol w:w="255"/>
        <w:gridCol w:w="256"/>
        <w:gridCol w:w="271"/>
        <w:gridCol w:w="109"/>
        <w:gridCol w:w="109"/>
        <w:gridCol w:w="109"/>
        <w:gridCol w:w="255"/>
        <w:gridCol w:w="256"/>
        <w:gridCol w:w="271"/>
        <w:gridCol w:w="109"/>
        <w:gridCol w:w="109"/>
        <w:gridCol w:w="109"/>
        <w:gridCol w:w="255"/>
        <w:gridCol w:w="256"/>
        <w:gridCol w:w="316"/>
      </w:tblGrid>
      <w:tr>
        <w:trPr/>
        <w:tc>
          <w:tcPr>
            <w:tcW w:w="16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154" w:type="dxa"/>
            <w:gridSpan w:val="6"/>
            <w:tcBorders/>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U.S. equity options</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industry average daily volume (in millions)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PHLX matched market share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Nasdaq Options Market matched market share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BX Options matched market share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ISE Options matched market share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GEMX Options matched market share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MRX Options matched market share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matched market share executed on Nasdaq’s exchanges</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equity derivative trading revenues and U.S. equity derivative trading revenues, net increased in 2024 compared with the same period in 2023 primarily due to higher industry trading volumes, partially offset by lower overall matched market share executed on Nasdaq’s exchanges. U.S. equity derivative trading revenues also increased in 2024 compared with the same period in 2023 due to higher gross capture.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rebates, in which we credit a portion of the execution charge to the market participant, increased in 2024 compared with the same period in 2023 primarily due to higher rebate capture rate and industry trading volumes, partially offset by lower overall U.S. matched market share executed on Nasdaq’s exchanges.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Cash Equity Trading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total revenues, transaction-based expenses, and total revenues less transaction-based expenses as well as key drivers and other metrics from our Cash Equity Trading business:</w:t>
      </w:r>
    </w:p>
    <w:tbl>
      <w:tblPr>
        <w:tblW w:w="8202" w:type="dxa"/>
        <w:jc w:val="left"/>
        <w:tblInd w:w="0" w:type="dxa"/>
        <w:tblLayout w:type="fixed"/>
        <w:tblCellMar>
          <w:top w:w="28" w:type="dxa"/>
          <w:left w:w="28" w:type="dxa"/>
          <w:bottom w:w="28" w:type="dxa"/>
          <w:right w:w="28" w:type="dxa"/>
        </w:tblCellMar>
      </w:tblPr>
      <w:tblGrid>
        <w:gridCol w:w="898"/>
        <w:gridCol w:w="787"/>
        <w:gridCol w:w="790"/>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316"/>
        <w:gridCol w:w="240"/>
        <w:gridCol w:w="502"/>
        <w:gridCol w:w="269"/>
        <w:gridCol w:w="271"/>
        <w:gridCol w:w="565"/>
      </w:tblGrid>
      <w:tr>
        <w:trPr/>
        <w:tc>
          <w:tcPr>
            <w:tcW w:w="89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6"/>
            <w:tcBorders/>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6"/>
            <w:tcBorders/>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Equity Trading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120" w:after="4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Section 31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Transaction-based expenses: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rebates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120" w:after="4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Section 31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Brokerage and clearance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equity trading revenues,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discussion in "U.S. Equity Derivative Trading" for an explanation of Section 31 fees for 2024 as compared with the same period in 2023. </w:t>
      </w:r>
    </w:p>
    <w:tbl>
      <w:tblPr>
        <w:tblW w:w="8791" w:type="dxa"/>
        <w:jc w:val="left"/>
        <w:tblInd w:w="0" w:type="dxa"/>
        <w:tblLayout w:type="fixed"/>
        <w:tblCellMar>
          <w:top w:w="28" w:type="dxa"/>
          <w:left w:w="28" w:type="dxa"/>
          <w:bottom w:w="28" w:type="dxa"/>
          <w:right w:w="28" w:type="dxa"/>
        </w:tblCellMar>
      </w:tblPr>
      <w:tblGrid>
        <w:gridCol w:w="1888"/>
        <w:gridCol w:w="1659"/>
        <w:gridCol w:w="1672"/>
        <w:gridCol w:w="211"/>
        <w:gridCol w:w="406"/>
        <w:gridCol w:w="271"/>
        <w:gridCol w:w="109"/>
        <w:gridCol w:w="109"/>
        <w:gridCol w:w="109"/>
        <w:gridCol w:w="211"/>
        <w:gridCol w:w="406"/>
        <w:gridCol w:w="271"/>
        <w:gridCol w:w="109"/>
        <w:gridCol w:w="109"/>
        <w:gridCol w:w="109"/>
        <w:gridCol w:w="282"/>
        <w:gridCol w:w="544"/>
        <w:gridCol w:w="316"/>
      </w:tblGrid>
      <w:tr>
        <w:trPr/>
        <w:tc>
          <w:tcPr>
            <w:tcW w:w="188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469" w:type="dxa"/>
            <w:gridSpan w:val="6"/>
            <w:tcBorders/>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7" w:type="dxa"/>
            <w:gridSpan w:val="9"/>
            <w:tcBorders/>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Total U.S.-listed securities</w:t>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left"/>
              <w:rPr>
                <w:color w:val="000000"/>
              </w:rPr>
            </w:pPr>
            <w:r>
              <w:rPr>
                <w:color w:val="000000"/>
              </w:rPr>
              <w:t> </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industry average daily share volume (in billions)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Matched share volume (in billions)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Nasdaq Stock Market matched market share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BX matched market share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PSX matched market share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matched market share executed on Nasdaq’s exchanges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share reported to the FINRA/Nasdaq Trade Reporting Facility</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 share</w:t>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2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Nasdaq Nordic and Nasdaq Baltic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left"/>
              <w:rPr>
                <w:color w:val="000000"/>
              </w:rPr>
            </w:pPr>
            <w:r>
              <w:rPr>
                <w:color w:val="000000"/>
              </w:rPr>
              <w:t> </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daily number of equity trades executed on Nasdaq’s exchanges</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651,455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666,411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908,813 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average daily value of shares traded (in billions)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 share executed on Nasdaq’s exchanges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equity trading revenues and cash equity trading revenues, net increased in 2024 compared with the same period in 2023 primarily due to higher U.S. industry trading volumes, partially offset by lower overall U.S. matched market share executed on Nasdaq's exchanges.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rebates increased in 2024 compared with the same period in 2023 primarily due to higher U.S. industry volumes, partially offset by lower overall U.S. matched market share executed on Nasdaq’s exchanges. For The Nasdaq Stock Market and Nasdaq PSX, we credit a portion of the per share execution charge to the market participant that provides the liquidity, and for Nasdaq BX, we credit a portion of the per share execution charge to the market participant that takes the liquidity.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U.S. Tape Plans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revenues from our U.S. Tape plans business:</w:t>
      </w:r>
    </w:p>
    <w:tbl>
      <w:tblPr>
        <w:tblW w:w="6761" w:type="dxa"/>
        <w:jc w:val="left"/>
        <w:tblInd w:w="0" w:type="dxa"/>
        <w:tblLayout w:type="fixed"/>
        <w:tblCellMar>
          <w:top w:w="28" w:type="dxa"/>
          <w:left w:w="28" w:type="dxa"/>
          <w:bottom w:w="28" w:type="dxa"/>
          <w:right w:w="28" w:type="dxa"/>
        </w:tblCellMar>
      </w:tblPr>
      <w:tblGrid>
        <w:gridCol w:w="455"/>
        <w:gridCol w:w="401"/>
        <w:gridCol w:w="404"/>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93"/>
        <w:gridCol w:w="293"/>
        <w:gridCol w:w="517"/>
        <w:gridCol w:w="239"/>
        <w:gridCol w:w="241"/>
        <w:gridCol w:w="579"/>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6"/>
            <w:tcBorders/>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6"/>
            <w:tcBorders/>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Tape plans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Tape plans revenues decreased in 2024 compared with the same period in 2023 primarily due to lower industry-wide usage volume and the impact of one-time industry-wide adjustments.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includes Nordic fixed income trading and clearing, Nordic derivatives and Canadian cash equities trading. The following tables present revenues and a key driver from our Other business:</w:t>
      </w:r>
    </w:p>
    <w:tbl>
      <w:tblPr>
        <w:tblW w:w="5577" w:type="dxa"/>
        <w:jc w:val="left"/>
        <w:tblInd w:w="0" w:type="dxa"/>
        <w:tblLayout w:type="fixed"/>
        <w:tblCellMar>
          <w:top w:w="28" w:type="dxa"/>
          <w:left w:w="28" w:type="dxa"/>
          <w:bottom w:w="28" w:type="dxa"/>
          <w:right w:w="28" w:type="dxa"/>
        </w:tblCellMar>
      </w:tblPr>
      <w:tblGrid>
        <w:gridCol w:w="207"/>
        <w:gridCol w:w="181"/>
        <w:gridCol w:w="183"/>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39"/>
        <w:gridCol w:w="241"/>
        <w:gridCol w:w="517"/>
        <w:gridCol w:w="203"/>
        <w:gridCol w:w="203"/>
        <w:gridCol w:w="579"/>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2" w:type="dxa"/>
            <w:gridSpan w:val="6"/>
            <w:tcBorders/>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2" w:type="dxa"/>
            <w:gridSpan w:val="6"/>
            <w:tcBorders/>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both"/>
        <w:rPr/>
      </w:pPr>
      <w:r>
        <w:rPr>
          <w:rFonts w:ascii="Times New Roman;sans-serif" w:hAnsi="Times New Roman;sans-serif"/>
          <w:b w:val="false"/>
          <w:color w:val="000000"/>
          <w:sz w:val="20"/>
        </w:rPr>
        <w:t xml:space="preserve">In the preceding table, Other includes Canadian cash equity transaction rebates of $22 million, $20 million and $30 million </w:t>
      </w:r>
      <w:r>
        <w:rPr>
          <w:rFonts w:ascii="Times New Roman;sans-serif" w:hAnsi="Times New Roman;sans-serif"/>
          <w:b w:val="false"/>
          <w:color w:val="000000"/>
          <w:sz w:val="20"/>
          <w:shd w:fill="FFFFFF" w:val="clear"/>
        </w:rPr>
        <w:t xml:space="preserve">for the years ended </w:t>
      </w:r>
      <w:r>
        <w:rPr>
          <w:rFonts w:ascii="Times New Roman;sans-serif" w:hAnsi="Times New Roman;sans-serif"/>
          <w:b w:val="false"/>
          <w:color w:val="000000"/>
          <w:sz w:val="20"/>
        </w:rPr>
        <w:t>December 31, 2024, 2023 and 2022,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revenues decreased in 2024 compared with the same period in 2023 primarily due to a decrease in Nordic derivatives revenues due to a non-recurring payment received in 2023, partially offset by an increase in Nordic fixed income trading and clearing.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Other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2023 and 2022, Other revenues include revenues related to our Nordic power trading and clearing business, following our announcement in June 2023 that we entered into an agreement to sell this business, which was subsequently terminated in June 2024. In January 2025, we entered into a new agreement to transfer existing open positions in our Nordic power derivatives trading and clearing business to a European exchange. The completion of this transaction is subject to customary regulatory approvals. Revenues from this business will continue to be reflected in Other revenues. Prior to June 2023, these revenues were included in our Market Services and Capital Access Platforms segments. For the years ended December 31, 2023 and 2022, Other revenues also include revenues related to a transitional services agreement associated with a divested business. For the year ended December 31, 2022, Other revenues also include revenues related to our Nordic broker services business for which we completed the wind-down in June 2022. Prior to June 2022, these revenues were included in our Market Services and Capital Access Platforms segments.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Operating Expenses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expenses:</w:t>
      </w:r>
    </w:p>
    <w:tbl>
      <w:tblPr>
        <w:tblW w:w="9232" w:type="dxa"/>
        <w:jc w:val="left"/>
        <w:tblInd w:w="0" w:type="dxa"/>
        <w:tblLayout w:type="fixed"/>
        <w:tblCellMar>
          <w:top w:w="28" w:type="dxa"/>
          <w:left w:w="28" w:type="dxa"/>
          <w:bottom w:w="28" w:type="dxa"/>
          <w:right w:w="28" w:type="dxa"/>
        </w:tblCellMar>
      </w:tblPr>
      <w:tblGrid>
        <w:gridCol w:w="1217"/>
        <w:gridCol w:w="1069"/>
        <w:gridCol w:w="1074"/>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309"/>
        <w:gridCol w:w="309"/>
        <w:gridCol w:w="311"/>
        <w:gridCol w:w="135"/>
        <w:gridCol w:w="135"/>
        <w:gridCol w:w="135"/>
        <w:gridCol w:w="285"/>
        <w:gridCol w:w="285"/>
        <w:gridCol w:w="40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635" w:type="dxa"/>
            <w:gridSpan w:val="12"/>
            <w:tcBorders/>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9"/>
            <w:tcBorders/>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379" w:type="dxa"/>
            <w:gridSpan w:val="6"/>
            <w:tcBorders/>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Compensation and benefits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Professional and contract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Technology and communication infrastructure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12.7%</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Occupancy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23.7%</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administrative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(9.8)%</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Marketing and advertising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(8.8)%</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89.3%</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25.5%</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Regulatory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Merger and strategic initiatives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(76.5)%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79.7%</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Restructuring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454.5%</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14.9%</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compensation and benefits expense in 2024 compared with the same period in 2023 was primarily driven by the inclusion of a full year of compensation costs related to Adenza employees as compared to two months in 2023, a pre-tax charge of $23 million resulting from the finalization of the termination of our pension plan and higher incentive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Headcount, including employees of non-wholly owned consolidated subsidiaries, increased to 9,162 employees as of December 31, 2024 from 8,525 employees as of December 31, 2023, primarily due to an increase in our Financial Technology segment as we support revenue growth and innovation.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and contract services expense increased in 2024 compared with the same period in 2023 primarily due to an increase in expenses related to the inclusion of Adenza.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 infrastructure expense increased in 2024 compared with the same period in 2023 primarily due to an increase in expenses related to the inclusion of Adenza and an increase in investment in technology expense related to our cloud initiatives and software licensing.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Occupancy expense decreased in 2024 compared with the same period in 2023 primarily due to $18 million in impairment charges and exit related costs recorded in 2023 following the abandonment of leased office space, partially offset by an increase in costs related to the inclusion of Adenza office space.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 expense decreased in 2024 compared with the same period in 2023 primarily due to a one-time accrual in 2023 related to a legal matter, partially offset by the inclusion of Adenza expense for a full year in 2024 and insurance recoveries related to legal matters recorded in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 expense increased in 2024 compared with the same period in 2023 primarily due to higher client incentive spending resulting from higher IPO activity.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in 2024 compared with the same period in 2023 primarily due to an increase in amortization related to the intangible assets acquired as part of the Adenza acquisition.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expense increased in 2024 compared with the same period in 2023 primarily due to the settlement of a previously disclosed SFSA inquiry.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rPr>
        <w:t xml:space="preserve">We have pursued various strategic initiatives and completed acquisitions and </w:t>
      </w:r>
      <w:r>
        <w:rPr>
          <w:rFonts w:ascii="Times New Roman;sans-serif" w:hAnsi="Times New Roman;sans-serif"/>
          <w:b w:val="false"/>
          <w:color w:val="000000"/>
          <w:sz w:val="20"/>
          <w:shd w:fill="FFFFFF" w:val="clear"/>
        </w:rPr>
        <w:t>divestitures i</w:t>
      </w:r>
      <w:r>
        <w:rPr>
          <w:rFonts w:ascii="Times New Roman;sans-serif" w:hAnsi="Times New Roman;sans-serif"/>
          <w:b w:val="false"/>
          <w:color w:val="000000"/>
          <w:sz w:val="20"/>
        </w:rPr>
        <w:t>n recent years, which have resulted in expenses which would not have otherwise been incurred. These expenses generally include integration costs, as well as legal, due diligence and other third-party transaction costs and vary based on the size and frequency of the activities described above. For the years ended December 31, 2024 and 2023, these costs primarily relate to the Adenza acquisition. For the year ended December 31, 2024, these costs were partially offset by the recognition of a termination fee received by Nasdaq in 2024 related to the termination of the proposed divestiture of our Nordic power trading and clearing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charges increased in 2024 compared with the same period in 2023 as a result of charges from our Adenza restructuring program, which we implemented to optimize our efficiencies as a combined organization, and our divisional alignment program, which was completed in September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further expanded our Adenza restructuring program in the fourth quarter of 2024 to accelerate our momentum. In connection with this program, we expect to incur approximately $140 million in pre-tax charges. Actions taken as part of this program are expected to be completed by the end of 2025, while certain costs may be recognized in the first half of 2026. We expect to achieve benefits primarily in the form of expense synergies with annual cost savings of $140 million by the end of 2025, inclusive of the $80 million of net expense synergies related to the AxiomSL and Calypso acquisition.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divisional alignment program concluded on September 30, 2024, incurring total pre-tax charges of $139 million over a two-year period, within the projected range of $115 million to $145 million. In addition to significantly boosting the scalability of our platforms, and thus revenue opportunities, we expect to achieve benefits from the 2022 divisional alignment program through combined annual run-rate operational efficiencies of approximately $30 million annually by 2025.</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related to both programs described above, see Note 20, “Restructuring Charges,”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Non-Operating Income and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non-operating income and expenses:</w:t>
      </w:r>
    </w:p>
    <w:tbl>
      <w:tblPr>
        <w:tblW w:w="9225" w:type="dxa"/>
        <w:jc w:val="left"/>
        <w:tblInd w:w="0" w:type="dxa"/>
        <w:tblLayout w:type="fixed"/>
        <w:tblCellMar>
          <w:top w:w="28" w:type="dxa"/>
          <w:left w:w="28" w:type="dxa"/>
          <w:bottom w:w="28" w:type="dxa"/>
          <w:right w:w="28" w:type="dxa"/>
        </w:tblCellMar>
      </w:tblPr>
      <w:tblGrid>
        <w:gridCol w:w="1295"/>
        <w:gridCol w:w="1133"/>
        <w:gridCol w:w="1142"/>
        <w:gridCol w:w="196"/>
        <w:gridCol w:w="496"/>
        <w:gridCol w:w="109"/>
        <w:gridCol w:w="109"/>
        <w:gridCol w:w="109"/>
        <w:gridCol w:w="109"/>
        <w:gridCol w:w="196"/>
        <w:gridCol w:w="496"/>
        <w:gridCol w:w="109"/>
        <w:gridCol w:w="109"/>
        <w:gridCol w:w="109"/>
        <w:gridCol w:w="109"/>
        <w:gridCol w:w="196"/>
        <w:gridCol w:w="406"/>
        <w:gridCol w:w="109"/>
        <w:gridCol w:w="109"/>
        <w:gridCol w:w="109"/>
        <w:gridCol w:w="109"/>
        <w:gridCol w:w="380"/>
        <w:gridCol w:w="385"/>
        <w:gridCol w:w="340"/>
        <w:gridCol w:w="345"/>
        <w:gridCol w:w="346"/>
        <w:gridCol w:w="565"/>
      </w:tblGrid>
      <w:tr>
        <w:trPr/>
        <w:tc>
          <w:tcPr>
            <w:tcW w:w="129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1" w:type="dxa"/>
            <w:gridSpan w:val="6"/>
            <w:tcBorders/>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1" w:type="dxa"/>
            <w:gridSpan w:val="6"/>
            <w:tcBorders/>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2024 vs.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1,538.3 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expense</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(5,232.5)</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unconsolidated investees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(328.7)</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non-operating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interest expense:</w:t>
      </w:r>
    </w:p>
    <w:tbl>
      <w:tblPr>
        <w:tblW w:w="9265" w:type="dxa"/>
        <w:jc w:val="left"/>
        <w:tblInd w:w="0" w:type="dxa"/>
        <w:tblLayout w:type="fixed"/>
        <w:tblCellMar>
          <w:top w:w="28" w:type="dxa"/>
          <w:left w:w="28" w:type="dxa"/>
          <w:bottom w:w="28" w:type="dxa"/>
          <w:right w:w="28" w:type="dxa"/>
        </w:tblCellMar>
      </w:tblPr>
      <w:tblGrid>
        <w:gridCol w:w="1335"/>
        <w:gridCol w:w="1174"/>
        <w:gridCol w:w="1180"/>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233"/>
        <w:gridCol w:w="233"/>
        <w:gridCol w:w="502"/>
        <w:gridCol w:w="109"/>
        <w:gridCol w:w="109"/>
        <w:gridCol w:w="109"/>
        <w:gridCol w:w="278"/>
        <w:gridCol w:w="278"/>
        <w:gridCol w:w="566"/>
      </w:tblGrid>
      <w:tr>
        <w:trPr/>
        <w:tc>
          <w:tcPr>
            <w:tcW w:w="13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449"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449"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debt issuance costs and debt discount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fees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in 2024 compared with the same period in 2023 primarily due to a higher cash balance in 2023 during the period between the issuance of the senior unsecured notes in June 2023 and the close of the Adenza acquisition in November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in 2024 compared with the same period in 2023 primarily due to debt issued in June 2023 to finance the Adenza acquisition. See “Financing of the Adenza Acquisition,” of Note 9, “Debt Obligations,” to the consolidated financial statements for further discussion.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(loss) primarily represents realized and unrealized gains and losses from strategic investments related to our corporate venture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from unconsolidated investees increased in 2024 compared with the same period in 2023 primarily due to higher income recognized from our equity method investment in OCC and lower losses from our equity method investment in NPM. See “Equity Method Investments,” of Note 6, “Investments,” to the consolidated financial statements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Tax Matters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income tax provision and effective tax rate:</w:t>
      </w:r>
    </w:p>
    <w:tbl>
      <w:tblPr>
        <w:tblW w:w="7318" w:type="dxa"/>
        <w:jc w:val="left"/>
        <w:tblInd w:w="0" w:type="dxa"/>
        <w:tblLayout w:type="fixed"/>
        <w:tblCellMar>
          <w:top w:w="28" w:type="dxa"/>
          <w:left w:w="28" w:type="dxa"/>
          <w:bottom w:w="28" w:type="dxa"/>
          <w:right w:w="28" w:type="dxa"/>
        </w:tblCellMar>
      </w:tblPr>
      <w:tblGrid>
        <w:gridCol w:w="667"/>
        <w:gridCol w:w="588"/>
        <w:gridCol w:w="590"/>
        <w:gridCol w:w="325"/>
        <w:gridCol w:w="186"/>
        <w:gridCol w:w="301"/>
        <w:gridCol w:w="109"/>
        <w:gridCol w:w="109"/>
        <w:gridCol w:w="109"/>
        <w:gridCol w:w="325"/>
        <w:gridCol w:w="186"/>
        <w:gridCol w:w="301"/>
        <w:gridCol w:w="109"/>
        <w:gridCol w:w="109"/>
        <w:gridCol w:w="109"/>
        <w:gridCol w:w="325"/>
        <w:gridCol w:w="186"/>
        <w:gridCol w:w="301"/>
        <w:gridCol w:w="109"/>
        <w:gridCol w:w="109"/>
        <w:gridCol w:w="109"/>
        <w:gridCol w:w="239"/>
        <w:gridCol w:w="241"/>
        <w:gridCol w:w="517"/>
        <w:gridCol w:w="247"/>
        <w:gridCol w:w="233"/>
        <w:gridCol w:w="579"/>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6"/>
            <w:tcBorders/>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6"/>
            <w:tcBorders/>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 vs. 2023</w:t>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our tax matters, see Note 17, “Income Taxes,”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disclosing results determined in accordance with U.S. GAAP, we also provide non-GAAP net income attributable to Nasdaq and non-GAAP diluted earnings per share in this Annual Report on Form 10-K. Management uses this non-GAAP information internally, along with U.S. GAAP information, in evaluating our performance and in making financial and operational decisions. 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comparisons of our ongoing operating performance.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measures are not in accordance with, or an alternative to, U.S. GAAP, and may be different from non-GAAP measures used by other companies. In addition, other companies, including companies in our industry, may calculate such measures differently, which reduces their usefulness as comparative measures. Investors should not rely on any single financial measure when evaluating our business. This non-GAAP information should be considered as supplemental in nature and is not meant as a substitute for our operating results in accordance with U.S. GAAP.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understand that analysts and investors regularly rely on non-GAAP financial measures, such as non-GAAP net income attributable to Nasdaq and non-GAAP diluted earnings per share, to assess operating performance. We use non-GAAP net income attributable to Nasdaq and non-GAAP diluted earnings per share because they highlight trends more clearly in our business that may not otherwise be apparent when relying solely on U.S. GAAP financial measures, since these measures eliminate from our results specific financial items that have less bearing on our ongoing operating performance.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reconciliations between U.S. GAAP net income attributable to Nasdaq and diluted earnings per share and non-GAAP net income attributable to Nasdaq and diluted earnings per share: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tbl>
      <w:tblPr>
        <w:tblW w:w="9258" w:type="dxa"/>
        <w:jc w:val="left"/>
        <w:tblInd w:w="0" w:type="dxa"/>
        <w:tblLayout w:type="fixed"/>
        <w:tblCellMar>
          <w:top w:w="28" w:type="dxa"/>
          <w:left w:w="28" w:type="dxa"/>
          <w:bottom w:w="28" w:type="dxa"/>
          <w:right w:w="28" w:type="dxa"/>
        </w:tblCellMar>
      </w:tblPr>
      <w:tblGrid>
        <w:gridCol w:w="2003"/>
        <w:gridCol w:w="1763"/>
        <w:gridCol w:w="1769"/>
        <w:gridCol w:w="196"/>
        <w:gridCol w:w="556"/>
        <w:gridCol w:w="256"/>
        <w:gridCol w:w="109"/>
        <w:gridCol w:w="109"/>
        <w:gridCol w:w="109"/>
        <w:gridCol w:w="196"/>
        <w:gridCol w:w="556"/>
        <w:gridCol w:w="256"/>
        <w:gridCol w:w="109"/>
        <w:gridCol w:w="109"/>
        <w:gridCol w:w="109"/>
        <w:gridCol w:w="196"/>
        <w:gridCol w:w="556"/>
        <w:gridCol w:w="301"/>
      </w:tblGrid>
      <w:tr>
        <w:trPr/>
        <w:tc>
          <w:tcPr>
            <w:tcW w:w="200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 except per share amounts)</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 GAAP net income attributable to Nasdaq</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Adenza purchase accounting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 of acquired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and strategic initiatives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asset impairments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unconsolidated investees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and regulatory matters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Pension settlement charge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non-GAAP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non-GAAP tax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on intra-group transfer of IP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non-GAAP adjustments, net of tax</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net income attributable to Nasdaq</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 GAAP effective tax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from non-GAAP tax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effective tax rate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for diluted earnings per share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 GAAP diluted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from non-GAAP 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diluted earnings per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excluding the following items from the non-GAAP net income attributable to Nasdaq provides a more meaningful analysis of Nasdaq’s ongoing operating performance and comparisons in Nasdaq’s performance between periods:</w:t>
      </w:r>
    </w:p>
    <w:p>
      <w:pPr>
        <w:pStyle w:val="TextBody"/>
        <w:bidi w:val="0"/>
        <w:spacing w:lineRule="auto" w:line="288" w:before="120" w:after="283"/>
        <w:ind w:left="0" w:right="0" w:hanging="180"/>
        <w:jc w:val="both"/>
        <w:rPr/>
      </w:pPr>
      <w:r>
        <w:rPr>
          <w:color w:val="231F20"/>
          <w:shd w:fill="FFFFFF" w:val="clear"/>
        </w:rPr>
        <w:t>•</w:t>
      </w:r>
      <w:r>
        <w:rPr>
          <w:rFonts w:ascii="Times New Roman;sans-serif" w:hAnsi="Times New Roman;sans-serif"/>
          <w:b w:val="false"/>
          <w:i/>
          <w:color w:val="000000"/>
          <w:sz w:val="20"/>
        </w:rPr>
        <w:t xml:space="preserve">Adenza purchase accounting adjustment: </w:t>
      </w:r>
      <w:r>
        <w:rPr>
          <w:rFonts w:ascii="Times New Roman;sans-serif" w:hAnsi="Times New Roman;sans-serif"/>
          <w:b w:val="false"/>
          <w:color w:val="000000"/>
          <w:sz w:val="20"/>
        </w:rPr>
        <w:t xml:space="preserve">As discussed in Note 3, “Revenue from Contracts with Customers,” to the consolidated financial statements, during the third quarter of 2024, as part of finalizing the purchase accounting of the Adenza acquisition, a one-time revenue reduction of $32 million was recorded, reflecting the net impact of the accounting change on AxiomSL subscription revenue from the date of the Adenza acquisition. We have excluded the reduction of $34 million as this relates to the prior year impact of this change from our non-GAAP results. We have not excluded the $2 million offsetting impact of this change as it is related to current year results. </w:t>
      </w:r>
    </w:p>
    <w:p>
      <w:pPr>
        <w:pStyle w:val="TextBody"/>
        <w:bidi w:val="0"/>
        <w:spacing w:lineRule="auto" w:line="288" w:before="120" w:after="283"/>
        <w:ind w:left="0" w:right="0" w:hanging="180"/>
        <w:jc w:val="both"/>
        <w:rPr/>
      </w:pPr>
      <w:r>
        <w:rPr>
          <w:color w:val="000000"/>
          <w:shd w:fill="FFFFFF" w:val="clear"/>
        </w:rPr>
        <w:t>•</w:t>
      </w:r>
      <w:r>
        <w:rPr>
          <w:rFonts w:ascii="Times New Roman;sans-serif" w:hAnsi="Times New Roman;sans-serif"/>
          <w:b w:val="false"/>
          <w:i/>
          <w:color w:val="000000"/>
          <w:sz w:val="20"/>
        </w:rPr>
        <w:t xml:space="preserve">Amortization expense of acquired intangible assets: </w:t>
      </w:r>
      <w:r>
        <w:rPr>
          <w:rFonts w:ascii="Times New Roman;sans-serif" w:hAnsi="Times New Roman;sans-serif"/>
          <w:b w:val="false"/>
          <w:color w:val="000000"/>
          <w:sz w:val="20"/>
        </w:rPr>
        <w:t>We amortize intangible 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businesses and the relative operating performance of the businesses between periods.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Merger and strategic initiatives expense:</w:t>
      </w:r>
      <w:r>
        <w:rPr>
          <w:color w:val="000000"/>
        </w:rPr>
        <w:t xml:space="preserve"> </w:t>
      </w:r>
      <w:r>
        <w:rPr>
          <w:rFonts w:ascii="Times New Roman;sans-serif" w:hAnsi="Times New Roman;sans-serif"/>
          <w:b w:val="false"/>
          <w:color w:val="000000"/>
          <w:sz w:val="20"/>
        </w:rPr>
        <w:t>We have pursued various strategic initiatives and completed acquisitions and divestitures in recent years that have resulted in expenses which would not have otherwise been incurred. The frequency and the amount of such expenses vary significantly based on the size, timing and complexity of the transaction. These expenses primarily include integration costs, as well as legal, due diligence and other third-party transaction costs. For the years ended December 31, 2024 and 2023, these costs primarily relate to the Adenza acquisition. For the year ended December 31, 2024, these costs were partially offset by the recognition of a termination fee received by Nasdaq in 2024, related to the termination of the proposed divestiture of our Nordic power trading and clearing business.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Restructuring charges:</w:t>
      </w:r>
      <w:r>
        <w:rPr>
          <w:color w:val="000000"/>
        </w:rPr>
        <w:t xml:space="preserve"> </w:t>
      </w:r>
      <w:r>
        <w:rPr>
          <w:rFonts w:ascii="Times New Roman;sans-serif" w:hAnsi="Times New Roman;sans-serif"/>
          <w:b w:val="false"/>
          <w:color w:val="000000"/>
          <w:sz w:val="20"/>
        </w:rPr>
        <w:t xml:space="preserve">In the fourth quarter of 2023, following the closing of the Adenza acquisition, our management approved, committed to and initiated a restructuring program, to optimize our efficiencies as a combined organization. We further expanded this restructuring program in the fourth quarter of 2024 to accelerate our momentum. In October 2022, following our September 2022 announcement to realign our segments and leadership, we initiated a divisional alignment program with a focus on realizing the full potential of this structure. We completed this program in September 2024. See Note 20, “Restructuring Charges,” to the consolidated financial statements for further discussion of these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Net (income) loss from unconsolidated investees</w:t>
      </w:r>
      <w:r>
        <w:rPr>
          <w:rFonts w:ascii="Times New Roman;sans-serif" w:hAnsi="Times New Roman;sans-serif"/>
          <w:b w:val="false"/>
          <w:color w:val="000000"/>
          <w:sz w:val="20"/>
        </w:rPr>
        <w:t xml:space="preserve">: We exclude our share of the earnings and losses of our equity method investments. This provides a more meaningful analysis of Nasdaq’s ongoing operating performance or comparisons in Nasdaq’s performance between periods. See “Equity Method Investments,” of Note 6, “Investments,” to the consolidated financial statements for further discussion.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Other items: </w:t>
      </w:r>
      <w:r>
        <w:rPr>
          <w:rFonts w:ascii="Times New Roman;sans-serif" w:hAnsi="Times New Roman;sans-serif"/>
          <w:b w:val="false"/>
          <w:color w:val="000000"/>
          <w:sz w:val="20"/>
        </w:rPr>
        <w:t xml:space="preserve">We have excluded certain other charges or gains, including certain tax items, that are the result of other non-comparable events to measure operating performance. We believe the exclusion of such amounts allows management and investors to better understand the ongoing financial results of Nasdaq. Other significant items include: </w:t>
      </w:r>
    </w:p>
    <w:p>
      <w:pPr>
        <w:pStyle w:val="TextBody"/>
        <w:bidi w:val="0"/>
        <w:spacing w:lineRule="auto" w:line="288" w:before="120" w:after="283"/>
        <w:ind w:left="0" w:right="0" w:hanging="180"/>
        <w:jc w:val="both"/>
        <w:rPr/>
      </w:pPr>
      <w:r>
        <w:rPr>
          <w:color w:val="000000"/>
          <w:shd w:fill="FFFFFF" w:val="clear"/>
        </w:rPr>
        <w:t>◦</w:t>
      </w:r>
      <w:r>
        <w:rPr>
          <w:rFonts w:ascii="Times New Roman;sans-serif" w:hAnsi="Times New Roman;sans-serif"/>
          <w:b w:val="false"/>
          <w:i/>
          <w:color w:val="000000"/>
          <w:sz w:val="20"/>
        </w:rPr>
        <w:t xml:space="preserve">Lease asset impairments: </w:t>
      </w:r>
      <w:r>
        <w:rPr>
          <w:rFonts w:ascii="Times New Roman;sans-serif" w:hAnsi="Times New Roman;sans-serif"/>
          <w:b w:val="false"/>
          <w:color w:val="000000"/>
          <w:sz w:val="20"/>
        </w:rPr>
        <w:t xml:space="preserve">For the year ended December 31, 2023, other items include impairment charges related to our operating lease assets and leasehold improvements associated with vacating certain leased office space, which are recorded in occupancy and depreciation and amortization expense in the Consolidated Statements of Income. See Note 16, “Leases,” to the consolidated financial statements for further discussion.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Extinguishment of debt:</w:t>
      </w:r>
      <w:r>
        <w:rPr>
          <w:color w:val="000000"/>
        </w:rPr>
        <w:t xml:space="preserve"> </w:t>
      </w:r>
      <w:r>
        <w:rPr>
          <w:rFonts w:ascii="Times New Roman;sans-serif" w:hAnsi="Times New Roman;sans-serif"/>
          <w:b w:val="false"/>
          <w:color w:val="000000"/>
          <w:sz w:val="20"/>
        </w:rPr>
        <w:t>For the years ended December 31, 2024 and 2022 this includes a loss on extinguishment of debt, which is recorded under general, administrative and other expense in the Consolidated Statements of Income. See Note 9, “Debt Obligations,” to the consolidated financial statements for further discussion.</w:t>
      </w:r>
    </w:p>
    <w:p>
      <w:pPr>
        <w:pStyle w:val="TextBody"/>
        <w:bidi w:val="0"/>
        <w:spacing w:lineRule="auto" w:line="288" w:before="120" w:after="283"/>
        <w:ind w:left="0" w:right="0" w:hanging="180"/>
        <w:jc w:val="both"/>
        <w:rPr/>
      </w:pPr>
      <w:r>
        <w:rPr>
          <w:color w:val="000000"/>
          <w:shd w:fill="FFFFFF" w:val="clear"/>
        </w:rPr>
        <w:t>◦</w:t>
      </w:r>
      <w:r>
        <w:rPr>
          <w:rFonts w:ascii="Times New Roman;sans-serif" w:hAnsi="Times New Roman;sans-serif"/>
          <w:b w:val="false"/>
          <w:i/>
          <w:color w:val="000000"/>
          <w:sz w:val="20"/>
        </w:rPr>
        <w:t xml:space="preserve">Legal and regulatory matters: </w:t>
      </w:r>
      <w:r>
        <w:rPr>
          <w:rFonts w:ascii="Times New Roman;sans-serif" w:hAnsi="Times New Roman;sans-serif"/>
          <w:b w:val="false"/>
          <w:color w:val="000000"/>
          <w:sz w:val="20"/>
        </w:rPr>
        <w:t>For the year ended December 31, 2024, other items primarily include the settlement of a previously disclosed SFSA inquiry, and accruals related to certain legal matters. For 2023 and 2022, other items also includes accruals related to certain legal matters. For 2023, these charges were partially offset by insurance recoveries related to certain legal matters. The charges and related insurance recoveries are recorded in professional and contract services and general, administrative and other expense in the Consolidated Statements of Income. For 2022, this also includes a charge related to an administrative fine imposed by the SFSA related to the clearing default that occurred in 2018. This charge was included in regulatory expense in the Consolidated Statements of Income.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Pension settlement charge: </w:t>
      </w:r>
      <w:r>
        <w:rPr>
          <w:rFonts w:ascii="Times New Roman;sans-serif" w:hAnsi="Times New Roman;sans-serif"/>
          <w:b w:val="false"/>
          <w:color w:val="000000"/>
          <w:sz w:val="20"/>
        </w:rPr>
        <w:t>For the years ended December 31, 2024 and 2023, we recorded a pre-tax charge as a result of settling our U.S. pension plan. The plan was terminated and partially settled in 2023, with final settlement occurring during the first quarter of 2024. The pre-tax charge is recorded in compensation and benefits expense in the Consolidated Statements of Income. See Note 10, “Retirement Plans,” to the consolidated financial statements for further discussion.</w:t>
      </w:r>
    </w:p>
    <w:p>
      <w:pPr>
        <w:pStyle w:val="TextBody"/>
        <w:bidi w:val="0"/>
        <w:spacing w:before="120" w:after="283"/>
        <w:ind w:left="0" w:right="0" w:firstLine="180"/>
        <w:jc w:val="both"/>
        <w:rPr/>
      </w:pPr>
      <w:r>
        <w:rPr/>
      </w:r>
    </w:p>
    <w:p>
      <w:pPr>
        <w:pStyle w:val="TextBody"/>
        <w:bidi w:val="0"/>
        <w:spacing w:before="0" w:after="0"/>
        <w:jc w:val="left"/>
        <w:rPr/>
      </w:pPr>
      <w:r>
        <w:rPr/>
      </w:r>
    </w:p>
    <w:p>
      <w:pPr>
        <w:pStyle w:val="TextBody"/>
        <w:bidi w:val="0"/>
        <w:spacing w:lineRule="auto" w:line="288" w:before="120" w:after="283"/>
        <w:ind w:left="0" w:right="0" w:hanging="180"/>
        <w:jc w:val="both"/>
        <w:rPr/>
      </w:pPr>
      <w:r>
        <w:rPr>
          <w:color w:val="000000"/>
          <w:shd w:fill="FFFFFF" w:val="clear"/>
        </w:rPr>
        <w:t>◦</w:t>
      </w:r>
      <w:r>
        <w:rPr>
          <w:rFonts w:ascii="Times New Roman;sans-serif" w:hAnsi="Times New Roman;sans-serif"/>
          <w:b w:val="false"/>
          <w:i/>
          <w:color w:val="000000"/>
          <w:sz w:val="20"/>
        </w:rPr>
        <w:t>Other (income) loss</w:t>
      </w:r>
      <w:r>
        <w:rPr>
          <w:rFonts w:ascii="Times New Roman;sans-serif" w:hAnsi="Times New Roman;sans-serif"/>
          <w:b w:val="false"/>
          <w:color w:val="000000"/>
          <w:sz w:val="20"/>
        </w:rPr>
        <w:t>: For the years ended December 31, 2024 and 2022, other items include net gains from strategic investments entered into through our corporate venture program, which are included in other income (loss) in the Consolidated Statements of Income. For 2023, other items included certain financing costs related to the Adenza acquisition and a net loss from a strategic investments entered into through our corporate venture program.</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Significant tax items: </w:t>
      </w:r>
      <w:r>
        <w:rPr>
          <w:rFonts w:ascii="Times New Roman;sans-serif" w:hAnsi="Times New Roman;sans-serif"/>
          <w:b w:val="false"/>
          <w:color w:val="000000"/>
          <w:sz w:val="20"/>
        </w:rPr>
        <w:t>The non-GAAP adjustment to the income tax provision for all periods primarily includes the tax impact of each non-GAAP adjustment. In addition, for the year ended December 31, 2024, tax items also include a one-time net tax expense of $33 million related to the completion of an intra-group transfer of certain intellectual property, or IP, assets to our U.S. headquarters as well as a tax benefit related to return to provision adjustments and release of tax reserves due to lapse in statute of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funded our operating activities and met our commitments through cash generated by operations, augmented by the periodic issuance of debt. Currently, our cost and availability of funding remain healthy. We continue to prudently assess our capital deployment strategy through balancing internal investments, debt repayments, and shareholder return activity, including dividends and share repurchases, and potential acquisitions.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current cash and cash equivalents combined with cash flows provided by operating activities, supplemented with our borrowing capacity and access to additional financing, including our revolving credit facility and our commercial paper program, provides us additional flexibility to meet our ongoing obligations and the capital deployment strategic actions described above, while allowing us to invest in activities and product development that support the long-term growth of our operations. </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factors that could affect the availability of our internally-generated funds include:</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deterioration of our revenues in any of our business segments;</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changes in regulatory and working capital requirements;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an increase in our expenses.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factors that could affect our ability to obtain cash from external sources include:</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operating covenants contained in our credit facilities that limit our total borrowing capacity;</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credit rating downgrades, which could limit our access to additional debt;</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a significant decrease in the market price of our common stock; and</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volatility or disruption in the public debt and equity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selected measures of our liquidity and capital resources:</w:t>
      </w:r>
    </w:p>
    <w:tbl>
      <w:tblPr>
        <w:tblW w:w="5392" w:type="dxa"/>
        <w:jc w:val="left"/>
        <w:tblInd w:w="0" w:type="dxa"/>
        <w:tblLayout w:type="fixed"/>
        <w:tblCellMar>
          <w:top w:w="28" w:type="dxa"/>
          <w:left w:w="28" w:type="dxa"/>
          <w:bottom w:w="28" w:type="dxa"/>
          <w:right w:w="28" w:type="dxa"/>
        </w:tblCellMar>
      </w:tblPr>
      <w:tblGrid>
        <w:gridCol w:w="820"/>
        <w:gridCol w:w="720"/>
        <w:gridCol w:w="724"/>
        <w:gridCol w:w="109"/>
        <w:gridCol w:w="109"/>
        <w:gridCol w:w="109"/>
        <w:gridCol w:w="326"/>
        <w:gridCol w:w="720"/>
        <w:gridCol w:w="168"/>
        <w:gridCol w:w="109"/>
        <w:gridCol w:w="109"/>
        <w:gridCol w:w="109"/>
        <w:gridCol w:w="320"/>
        <w:gridCol w:w="707"/>
        <w:gridCol w:w="233"/>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20"/>
        </w:rPr>
        <w:t>The decrease in working capital is primarily driven by the reclassification of the 2025 Notes to short-term debt in 2024 and an increase in current deferred revenue, partially offset by a decrease in commercial paper, net, as further described below under “</w:t>
      </w:r>
      <w:r>
        <w:rPr>
          <w:rFonts w:ascii="Times New Roman;sans-serif" w:hAnsi="Times New Roman;sans-serif"/>
          <w:b w:val="false"/>
          <w:i/>
          <w:color w:val="000000"/>
          <w:sz w:val="20"/>
        </w:rPr>
        <w:t>Debt Obligations.</w:t>
      </w:r>
      <w:r>
        <w:rPr>
          <w:color w:val="000000"/>
        </w:rPr>
        <w: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includes all non-restricted cash in banks and highly liquid investments with original maturities of 90 days or less at the time of purchase. The balance retained in cash and cash equivalents is a function of anticipated or possible short-term cash needs, prevailing interest rates, our investment policy, and alternative investment choices. As of December 31, 2024, our cash and cash equivalents of $592 million were primarily invested in money market funds, commercial paper and bank deposits.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Repatriation of Cash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held outside of the U.S. in various foreign subsidiaries totaled $181 million as of December 31, 2024 and $236 million as of December 31, 2023. The remaining balance held in the U.S. totaled $411 million as of December 31, 2024 and $217 million as of December 31, 2023.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Flow Analysis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cash flows:</w:t>
      </w:r>
    </w:p>
    <w:tbl>
      <w:tblPr>
        <w:tblW w:w="6086" w:type="dxa"/>
        <w:jc w:val="left"/>
        <w:tblInd w:w="0" w:type="dxa"/>
        <w:tblLayout w:type="fixed"/>
        <w:tblCellMar>
          <w:top w:w="28" w:type="dxa"/>
          <w:left w:w="28" w:type="dxa"/>
          <w:bottom w:w="28" w:type="dxa"/>
          <w:right w:w="28" w:type="dxa"/>
        </w:tblCellMar>
      </w:tblPr>
      <w:tblGrid>
        <w:gridCol w:w="961"/>
        <w:gridCol w:w="843"/>
        <w:gridCol w:w="850"/>
        <w:gridCol w:w="211"/>
        <w:gridCol w:w="616"/>
        <w:gridCol w:w="109"/>
        <w:gridCol w:w="109"/>
        <w:gridCol w:w="109"/>
        <w:gridCol w:w="109"/>
        <w:gridCol w:w="211"/>
        <w:gridCol w:w="616"/>
        <w:gridCol w:w="109"/>
        <w:gridCol w:w="109"/>
        <w:gridCol w:w="109"/>
        <w:gridCol w:w="109"/>
        <w:gridCol w:w="196"/>
        <w:gridCol w:w="55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4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Cash Provided by Operating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primarily consists of net income adjusted for certain non-cash items, including, but not limited to, depreciation and amortization expense, expense associated with share-based compensation, deferred income taxes and the effects of changes in working capital. Changes in working capital include changes in accounts receivable and deferred revenue which are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 and Section 31 fees payable to the SEC, which is impacted by the changes in SEC fee rates and the timing of collections from customers and payments to the SEC.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increased $243 million for the year ended December 31, 2024 compared with the same period in 2023. The increase was primarily driven by an increase in net income and the impact of certain non-cash items on net income, primarily an increase in amortization expense due to acquired intangibles related to the Adenza acquisitions offset by a decrease in deferred income tax liabilities.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our operating assets and liabilities primarily included higher Section 31 fees payable to the SEC due to changes in Section 31 fee rate between periods, partially offset by higher cash outflows from accounts payable and accrued expenses, primarily due to interest paid relating to the senior unsecured notes and the settlement of a legal matter, and higher cash outflows from higher receivables, net, primarily due to higher Market Services receivables driven by higher Section 31 fee rate as well as higher billings.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Cash Used in Investing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2024 related to net purchases of investments related to default funds and margin deposits of $707 million, purchases of property and equipment of $207 million, other investing activities primarily related to our corporate venture program of $32 million and net purchases of trading securities, net, of $7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2023 related to $5,766 million paid for the acquisition of Adenza, net of cash and cash equivalents acquired, purchases of property and equipment of $158 million, net purchases of investments related to default funds and margin deposits of $74 million and $3 million from other investing activities, partially offset by proceeds from the sale and redemption of trading securities, net of $7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Cash Provided by (Used in) Financing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year ended December 31, 2024 primarily related to a decrease in default funds and margin deposits of $1,030 million, dividend payments to our shareholders of $541 million, 2023 Term Loan repayment of $340 million, net repayments of our commercial paper of $291 million, repayments of debt and credit commitments of $181 million and repurchases of common stock of $145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year ended December 31, 2023 primarily related to $5,608 million in proceeds from issuances of senior unsecured notes and the 2023 Term Loan, in connection with the Adenza acquisition, net of debt issuance costs partially offset by dividend payments to our shareholders of $441 million, repayments of our commercial paper, net of $371 million, repurchases of common stock of $269 million and partial repayment of the 2023 Term Loan of $260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9, “Debt Obligations,” to the consolidated financial statements for further discussion of our debt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“Share Repurchase Program,” and “Cash Dividends on Common Stock,” of Note 12, “Nasdaq Stockholders’ Equity,” to the consolidated financial statements for further discussion of our share repurchase program and cash dividends declared and paid on our common stock.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Financial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investments totaled $184 million as of December 31, 2024 and $188 million as of December 31, 2023. Of these securities, $171 million as of December 31, 2024 and $168 million as of December 31, 2023 are assets primarily utilized to meet regulatory capital requirements, mainly for our clearing operations at Nasdaq Clearing. See Note 6, “Investments,” to the consolidated financial statements for further discussion.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Regulatory Capital Requirements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Clearing Operations Regulatory Capital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maintain minimum levels of regulatory capital for the clearing operations of Nasdaq Clearing. The level of regulatory capital required to be maintained is dependent upon many factors, including market conditions and creditworthiness of the counterparty. As of December 31, 2024, our required regulatory capital of $129 million was primarily comprised of highly rated European government debt securities that are included in financial investments in the Consolidated Balance Sheets.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Broker-Dealer Net Capital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broker-dealer subsidiaries, Nasdaq Execution Services, NFSTX, LLC, and Nasdaq Capital Markets Advisory, are subject to regulatory requirements intended to ensure their general financial soundness and liquidity. These requirements obligate these subsidiaries to comply with minimum net capital requirements. As of December 31, 2024, the combined required minimum net capital totaled $1 million and the combined excess capital totaled $24 million, substantially all of which is held in cash and cash equivalents in the Consolidated Balance Sheets. The required minimum net capital is included in restricted cash and cash equivalents in the Consolidated Balance Sheets.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Nordic and Baltic Exchange Regulatory Capital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entities that operate trading venues in the Nordic and Baltic countries are each subject to local regulations and are required to maintain regulatory capital intended to ensure their general financial soundness and liquidity. As of December 31, 2024, our required regulatory capital of $35 million was primarily invested in European government bills and mortgage bonds that are included in financial investments in the Consolidated Balance Sheets and cash, which is included in restricted cash and cash equivalents in the Consolidated Balance Sheets.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Capital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several other businesses which are subject to local regulation and are required to maintain certain levels of regulatory capital. As of December 31, 2024, other required regulatory capital of $12 million, primarily related to Nasdaq Central Securities Depository, was primarily invested in European government debt securities that are included in financial investments in the Consolidated Balance Sheets.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Equity and dividends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“Share Repurchase Program,” of Note 12, “Nasdaq Stockholders’ Equity,” to the consolidated financial statements for further discussion of our share repurchase program.</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Cash Dividends on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quarterly cash dividends paid per common share on our outstanding common stock:</w:t>
      </w:r>
    </w:p>
    <w:tbl>
      <w:tblPr>
        <w:tblW w:w="3368" w:type="dxa"/>
        <w:jc w:val="left"/>
        <w:tblInd w:w="0" w:type="dxa"/>
        <w:tblLayout w:type="fixed"/>
        <w:tblCellMar>
          <w:top w:w="28" w:type="dxa"/>
          <w:left w:w="28" w:type="dxa"/>
          <w:bottom w:w="28" w:type="dxa"/>
          <w:right w:w="28" w:type="dxa"/>
        </w:tblCellMar>
      </w:tblPr>
      <w:tblGrid>
        <w:gridCol w:w="483"/>
        <w:gridCol w:w="424"/>
        <w:gridCol w:w="427"/>
        <w:gridCol w:w="211"/>
        <w:gridCol w:w="511"/>
        <w:gridCol w:w="109"/>
        <w:gridCol w:w="109"/>
        <w:gridCol w:w="109"/>
        <w:gridCol w:w="109"/>
        <w:gridCol w:w="211"/>
        <w:gridCol w:w="51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“Cash Dividends on Common Stock,” of Note 12, “Nasdaq Stockholders’ Equity,” to the consolidated financial statements for further discussion of the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Debt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debt obligations, by contractual maturity, at December 31, 2024 are as follows (in U.S. Dollar millions):</w:t>
      </w:r>
    </w:p>
    <w:p>
      <w:pPr>
        <w:pStyle w:val="TextBody"/>
        <w:bidi w:val="0"/>
        <w:spacing w:lineRule="auto" w:line="288" w:before="120" w:after="283"/>
        <w:jc w:val="center"/>
        <w:rPr/>
      </w:pPr>
      <w:r>
        <w:rPr>
          <w:rFonts w:ascii="Wingdings;sans-serif" w:hAnsi="Wingdings;sans-serif"/>
          <w:b w:val="false"/>
          <w:color w:val="6D6D6D"/>
          <w:sz w:val="20"/>
        </w:rPr>
        <w:t>n</w:t>
      </w:r>
      <w:r>
        <w:rPr>
          <w:color w:val="000000"/>
        </w:rPr>
        <w:t xml:space="preserve"> </w:t>
      </w:r>
      <w:r>
        <w:rPr>
          <w:rFonts w:ascii="Times New Roman;sans-serif" w:hAnsi="Times New Roman;sans-serif"/>
          <w:b w:val="false"/>
          <w:color w:val="000000"/>
          <w:sz w:val="20"/>
        </w:rPr>
        <w:t xml:space="preserve">Euro Notes </w:t>
      </w:r>
      <w:r>
        <w:rPr>
          <w:rFonts w:ascii="Wingdings;sans-serif" w:hAnsi="Wingdings;sans-serif"/>
          <w:b w:val="false"/>
          <w:color w:val="0092BC"/>
          <w:sz w:val="20"/>
        </w:rPr>
        <w:t>n</w:t>
      </w:r>
      <w:r>
        <w:rPr>
          <w:color w:val="000000"/>
        </w:rPr>
        <w:t xml:space="preserve"> </w:t>
      </w:r>
      <w:r>
        <w:rPr>
          <w:rFonts w:ascii="Times New Roman;sans-serif" w:hAnsi="Times New Roman;sans-serif"/>
          <w:b w:val="false"/>
          <w:color w:val="000000"/>
          <w:sz w:val="20"/>
        </w:rPr>
        <w:t xml:space="preserve">U.S. Notes </w:t>
      </w:r>
    </w:p>
    <w:p>
      <w:pPr>
        <w:pStyle w:val="TextBody"/>
        <w:bidi w:val="0"/>
        <w:spacing w:before="120" w:after="283"/>
        <w:jc w:val="both"/>
        <w:rPr/>
      </w:pPr>
      <w:r>
        <w:rPr/>
        <w:drawing>
          <wp:inline distT="0" distB="0" distL="0" distR="0">
            <wp:extent cx="6486525" cy="3619500"/>
            <wp:effectExtent l="0" t="0" r="0" b="0"/>
            <wp:docPr id="6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9" descr=""/>
                    <pic:cNvPicPr>
                      <a:picLocks noChangeAspect="1" noChangeArrowheads="1"/>
                    </pic:cNvPicPr>
                  </pic:nvPicPr>
                  <pic:blipFill>
                    <a:blip r:embed="rId10"/>
                    <a:stretch>
                      <a:fillRect/>
                    </a:stretch>
                  </pic:blipFill>
                  <pic:spPr bwMode="auto">
                    <a:xfrm>
                      <a:off x="0" y="0"/>
                      <a:ext cx="6486525" cy="3619500"/>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2024, we repurchased an aggregate amount of $181 million of outstanding notes, primarily related to the 2025 Notes, 2028 Notes and 2034 Notes. In February 2025, Nasdaq commenced a cash tender offer to repurchase up to an aggregate principal amount of $200 million of our 2028, 2034 and 2052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the weighted average interest rate on our debt obligations was approximately 3.95%. This rate can fluctuate based on changes in interest rates for our variable rate debts, changes in foreign currency exchange rates and changes in the amount and duration of outstanding debt. In addition to the 2022 Revolving Credit Facility, we also have other credit facilities primarily to support our Nasdaq Clearing operations in Europe, as well as to provide a cash pool credit line. These European credit facilities, which are available in multiple currencies, totaled $174 million as of December 31, 2024 and $191 million as of December 31, 2023 in available liquidity, none of which was utilized.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Financing of the Adenza Acquisition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Nasdaq issued six series of notes for total proceeds of $5,016 million, net of debt issuance costs of $38 million, with various maturity dates ranging from 2025 to 2063. The net proceeds from these notes were used to finance the majority of the cash consideration due in connection with the Adenza acquisition.</w:t>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financing of the Adenza acquisition, we entered into the 2023 Term Loan agreement. The 2023 Term Loan provided us with the ability to borrow up to $600 million to finance a portion of the cash consideration for the Adenza acquisition and other amounts incurred in connection with this transaction. On November 1, 2023, we borrowed $599 million, net of fees, under this term loan, which was used towards payment of the cash consideration due in connection with the Adenza acquisition, a portion of which had been repaid in the fourth quarter of 2023. The term loan was fully repaid in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were in compliance with the covenants of all of our debt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9, “Debt Obligations,” to the consolidated financial statements for further discussion of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CONTINGENT COMMITMENTS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has contractual obligations to make future payments under debt obligations by contract maturity, operating lease payments, and other obligations. The following table summarizes material cash requirements for known contractual and other obligations as of December 31, 2024, and the estimated timing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tbl>
      <w:tblPr>
        <w:tblW w:w="7274" w:type="dxa"/>
        <w:jc w:val="left"/>
        <w:tblInd w:w="0" w:type="dxa"/>
        <w:tblLayout w:type="fixed"/>
        <w:tblCellMar>
          <w:top w:w="28" w:type="dxa"/>
          <w:left w:w="28" w:type="dxa"/>
          <w:bottom w:w="28" w:type="dxa"/>
          <w:right w:w="28" w:type="dxa"/>
        </w:tblCellMar>
      </w:tblPr>
      <w:tblGrid>
        <w:gridCol w:w="1040"/>
        <w:gridCol w:w="913"/>
        <w:gridCol w:w="926"/>
        <w:gridCol w:w="196"/>
        <w:gridCol w:w="646"/>
        <w:gridCol w:w="109"/>
        <w:gridCol w:w="196"/>
        <w:gridCol w:w="421"/>
        <w:gridCol w:w="109"/>
        <w:gridCol w:w="196"/>
        <w:gridCol w:w="556"/>
        <w:gridCol w:w="109"/>
        <w:gridCol w:w="196"/>
        <w:gridCol w:w="556"/>
        <w:gridCol w:w="109"/>
        <w:gridCol w:w="196"/>
        <w:gridCol w:w="646"/>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Payments Due by Period</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&lt;1 year</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1-3 years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3-5 years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5+ years</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obligation by contractual maturity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table above: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Debt obligations by contractual maturity include both principal and interest obligations. For our Euro denominated notes interest is calculated on an actual basis while all other debt obligations were primarily calculated on a 365-day basis at the contractual fixed rate multiplied by the aggregate principal amount as of December 31, 2024. See Note 9, “Debt Obligations,” to the consolidated financial statements for further discussion.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Operating lease obligations represent our undiscounted operating lease liabilities as of December 31, 2024, as well as legally binding minimum lease payments for leases signed but not yet commenced. See Note 16, “Leases,” to the consolidated financial statements for further discussion of our leases.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Purchase obligations primarily represent minimum outstanding obligations due under software license agreements. The balance as of December 31, 2024 is primarily comprised of our multi-year AWS partnership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For discussion of off-balance sheet arrangements see:</w:t>
      </w:r>
    </w:p>
    <w:p>
      <w:pPr>
        <w:pStyle w:val="TextBody"/>
        <w:bidi w:val="0"/>
        <w:spacing w:lineRule="auto" w:line="288" w:before="120" w:after="283"/>
        <w:ind w:left="0" w:right="0" w:hanging="180"/>
        <w:jc w:val="both"/>
        <w:rPr>
          <w:color w:val="000000"/>
        </w:rPr>
      </w:pPr>
      <w:r>
        <w:rPr>
          <w:color w:val="000000"/>
        </w:rPr>
        <w:t>•    </w:t>
      </w:r>
      <w:r>
        <w:rPr>
          <w:rFonts w:ascii="Times New Roman;sans-serif" w:hAnsi="Times New Roman;sans-serif"/>
          <w:b w:val="false"/>
          <w:color w:val="000000"/>
          <w:sz w:val="20"/>
        </w:rPr>
        <w:t>Note 15, “Clearing Operations,” to the consolidated financial statements for further discussion of our non-cash default fund contributions and margin deposits received for clearing operations; and</w:t>
      </w:r>
    </w:p>
    <w:p>
      <w:pPr>
        <w:pStyle w:val="TextBody"/>
        <w:bidi w:val="0"/>
        <w:spacing w:lineRule="auto" w:line="288" w:before="120" w:after="283"/>
        <w:ind w:left="0" w:right="0" w:hanging="180"/>
        <w:jc w:val="both"/>
        <w:rPr>
          <w:color w:val="000000"/>
        </w:rPr>
      </w:pPr>
      <w:r>
        <w:rPr>
          <w:color w:val="000000"/>
        </w:rPr>
        <w:t>•    </w:t>
      </w:r>
      <w:r>
        <w:rPr>
          <w:rFonts w:ascii="Times New Roman;sans-serif" w:hAnsi="Times New Roman;sans-serif"/>
          <w:b w:val="false"/>
          <w:color w:val="000000"/>
          <w:sz w:val="20"/>
        </w:rPr>
        <w:t>Note 18, “Commitments, Contingencies and Guarantees,” to the consolidated financial statements for further discussion of:</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Guarantees issued and credit facilities available;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Other guarantees;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Routing brokerage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operating, investing and financing activities, we are exposed to market risks such as interest rate risk and foreign currency exchange rate risk. We are also exposed to credit risk as a result of our normal business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policies and procedures to measure, manage, monitor and report risk exposures, which are reviewed regularly by management and the board of directors. We identify risk exposures and monitor and manage such risks on a daily basis.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risk of fluctuating interest rates in the normal course of business. Our exposure to market risk for changes in interest rates relates primarily to our financial investments and debt obligations, which are discussed below. Substantially all of our debt obligations are fixed-rate obligations. We may enter into transactions that expose us to interest rate risk, for which we may utilize interest rate swap agreements to manage that risk.</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our investment portfolio was primarily comprised of highly rated European government debt securities, which pay a fixed rate of interest. These securities are subject to interest rate risk and the fair value of these securities will decrease if market interest rates increase. The impact of an immediate increase to market interest rates, uniformly, by a hypothetical 100 basis points from levels as of December 31, 2024, would not have a material impact on our financial statements.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Debt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substantially all of our debt obligations are fixed-rate obligations. Interest rates on certain tranches of notes are subject to adjustment to the extent our debt rating is downgraded below investment grade, as further discussed in Note 9, “Debt Obligations,” to the consolidated financial statements. While changes in interest rates will have no impact on the interest we pay on fixed-rate obligations, we are exposed to changes in interest rates as a result of the borrowings under our 2022 Revolving Credit Facility, as this facility has a variable interest rate. We are also exposed to changes in interest rates as a result of the amounts outstanding from the sale of commercial paper under our commercial paper program, which have variable interest rates. As of December 31, 2024, there were no outstanding borrowings under our 2022 Revolving Credit Facility or commercial paper program.</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foreign currency exchange rate risk. Our primary transactional exposure to foreign currency denominated revenues less transaction-based expenses and operating income for the years ended December 31, 2024 and 2023 is presented in the following tables: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83"/>
        <w:gridCol w:w="1731"/>
        <w:gridCol w:w="1737"/>
        <w:gridCol w:w="202"/>
        <w:gridCol w:w="202"/>
        <w:gridCol w:w="207"/>
        <w:gridCol w:w="292"/>
        <w:gridCol w:w="292"/>
        <w:gridCol w:w="294"/>
        <w:gridCol w:w="327"/>
        <w:gridCol w:w="327"/>
        <w:gridCol w:w="329"/>
        <w:gridCol w:w="452"/>
        <w:gridCol w:w="452"/>
        <w:gridCol w:w="454"/>
        <w:gridCol w:w="209"/>
        <w:gridCol w:w="209"/>
        <w:gridCol w:w="306"/>
      </w:tblGrid>
      <w:tr>
        <w:trPr/>
        <w:tc>
          <w:tcPr>
            <w:tcW w:w="218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Euro</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Swedish Krona</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Canadian Dollar</w:t>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Other Foreign Currencies</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U.S. Dollar</w:t>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 except currency rate)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18"/>
                <w:u w:val="single"/>
              </w:rPr>
            </w:pPr>
            <w:r>
              <w:rPr>
                <w:rFonts w:ascii="Times New Roman;sans-serif" w:hAnsi="Times New Roman;sans-serif"/>
                <w:b/>
                <w:color w:val="000000"/>
                <w:sz w:val="18"/>
                <w:u w:val="single"/>
              </w:rPr>
              <w:t>Year Ended December 31, 2024</w:t>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foreign currency rate to the U.S. dollar</w:t>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0.095</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0.730</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revenues less transaction-based expenses</w:t>
            </w:r>
          </w:p>
        </w:tc>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84.3%</w:t>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operating income</w:t>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112.4%</w:t>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 10% adverse currency fluctuation on revenues less transaction-based expenses</w:t>
            </w:r>
          </w:p>
        </w:tc>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 10% adverse currency fluctuation on operating income</w:t>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2183"/>
        <w:gridCol w:w="1731"/>
        <w:gridCol w:w="1737"/>
        <w:gridCol w:w="202"/>
        <w:gridCol w:w="202"/>
        <w:gridCol w:w="207"/>
        <w:gridCol w:w="292"/>
        <w:gridCol w:w="292"/>
        <w:gridCol w:w="294"/>
        <w:gridCol w:w="327"/>
        <w:gridCol w:w="327"/>
        <w:gridCol w:w="329"/>
        <w:gridCol w:w="452"/>
        <w:gridCol w:w="452"/>
        <w:gridCol w:w="454"/>
        <w:gridCol w:w="209"/>
        <w:gridCol w:w="209"/>
        <w:gridCol w:w="306"/>
      </w:tblGrid>
      <w:tr>
        <w:trPr/>
        <w:tc>
          <w:tcPr>
            <w:tcW w:w="218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Euro</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Swedish Krona</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Canadian Dollar</w:t>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Other Foreign Currencies</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U.S. Dollar</w:t>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 except currency rate)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18"/>
                <w:u w:val="single"/>
              </w:rPr>
            </w:pPr>
            <w:r>
              <w:rPr>
                <w:rFonts w:ascii="Times New Roman;sans-serif" w:hAnsi="Times New Roman;sans-serif"/>
                <w:b/>
                <w:color w:val="000000"/>
                <w:sz w:val="18"/>
                <w:u w:val="single"/>
              </w:rPr>
              <w:t>Year Ended December 31, 2023</w:t>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foreign currency rate to the U.S. dollar</w:t>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0.094</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0.741</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revenues less transaction-based expenses</w:t>
            </w:r>
          </w:p>
        </w:tc>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85.6%</w:t>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operating income</w:t>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108.4%</w:t>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 10% adverse currency fluctuation on revenues less transaction-based expenses</w:t>
            </w:r>
          </w:p>
        </w:tc>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 10% adverse currency fluctuation on operating income</w:t>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__________</w:t>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Represents multiple foreign currency rates.</w:t>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N/A    Not applicable.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adverse impacts shown in the preceding tables should be viewed individually by currency and not in aggregate due to the correlation between changes in exchange rates for certain currencies. Additionally, the table does not include the offsetting impact of our hedging programs.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use foreign exchange contracts to hedge a portion of our forecasted foreign currency denominated revenues and expenses in the normal course of business. We do not use these contracts for speculative trading purposes. We hedge these cash flow exposures to reduce the risk that our earnings and cash flows will be adversely affected by changes in exchange rates. These foreign exchange contracts are carried at fair value, with maturities that can range up to 24 months. We record changes in fair value of these cash flow hedges of foreign currency denominated revenue and expenses in accumulated other comprehensive loss in the Consolidated Balance Sheets, until the forecasted transaction occurs. When the forecasted transaction affects earnings, we reclassify the related gain or loss on the cash flow hedge to revenue or operating expenses, as applicable. In the event the underlying forecasted transaction does not occur, or it becomes probable that it will not occur, we reclassify the gain or loss on the related cash flow hedge from accumulated other comprehensive loss to revenue or operating expenses, as applicable. As of December 31, 2024, the fair value of our derivatives designated as cash flow hedging instruments are not material.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The financial statements of these subsidiaries are translated into U.S. dollars for consolidated reporting using a current rate of exchange, with net gains or losses recorded in accumulated other comprehensive loss in the Consolidated Balance Sheets.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exposure to net assets in foreign currencies as of December 31, 2024 is presented in the following table:</w:t>
      </w:r>
    </w:p>
    <w:tbl>
      <w:tblPr>
        <w:tblW w:w="6089" w:type="dxa"/>
        <w:jc w:val="left"/>
        <w:tblInd w:w="0" w:type="dxa"/>
        <w:tblLayout w:type="fixed"/>
        <w:tblCellMar>
          <w:top w:w="28" w:type="dxa"/>
          <w:left w:w="28" w:type="dxa"/>
          <w:bottom w:w="28" w:type="dxa"/>
          <w:right w:w="28" w:type="dxa"/>
        </w:tblCellMar>
      </w:tblPr>
      <w:tblGrid>
        <w:gridCol w:w="559"/>
        <w:gridCol w:w="491"/>
        <w:gridCol w:w="494"/>
        <w:gridCol w:w="109"/>
        <w:gridCol w:w="109"/>
        <w:gridCol w:w="109"/>
        <w:gridCol w:w="211"/>
        <w:gridCol w:w="616"/>
        <w:gridCol w:w="109"/>
        <w:gridCol w:w="109"/>
        <w:gridCol w:w="109"/>
        <w:gridCol w:w="109"/>
        <w:gridCol w:w="688"/>
        <w:gridCol w:w="1765"/>
        <w:gridCol w:w="502"/>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Impact of a 10% Adverse Currency Fluctuation</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Swedish Krona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Norwegian Krone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Swedish Krona includes goodwill of $2,028 million and intangible assets, net of $439 million.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Credit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exposure to credit risk by evaluating the counterparties with which we make investments and execute agreements. For our investment portfolio, our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subsidiary, Nasdaq Execution Services, may be exposed to credit risk due to the default of trading counterparties in connection with the routing services it provides for our trading customers. System trades in cash equities routed to other market centers for members of our cash equity exchanges are routed by Nasdaq Execution Services for clearing to the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trade execution risk. However, Nasdaq has membership obligations to NSCC independent of Nasdaq Execution Services’ arrangements.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limits and capital deposit requirements for all brokers that clear with NSCC. Historically,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credit risk related to transaction and subscription-based revenues that are billed to customers on a monthly or quarterly basis, in arrears. Our potential exposure to credit losses on these transactions is represented by the receivable balances in the Consolidated Balance Sheets. We review and evaluate changes in the status of our counterparties’ creditworthiness. Credit losses such as those described above could adversely affect our consolidated financial position and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are exposed to credit risk through our clearing operations with Nasdaq Clearing. See Note 15, “Clearing Operations,” to the consolidated financial statements for further discussion. 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 As the clearinghouse may remit to the members interest earned at prevailing market rates, less a spread, this could include negative or reduced yield due to market conditions. The following is a summary of the risks associated with these deposits and how these risks are mitigated.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Credit Risk: </w:t>
      </w:r>
      <w:r>
        <w:rPr>
          <w:rFonts w:ascii="Times New Roman;sans-serif" w:hAnsi="Times New Roman;sans-serif"/>
          <w:b w:val="false"/>
          <w:color w:val="000000"/>
          <w:sz w:val="20"/>
        </w:rPr>
        <w:t>When the clearinghouse has the ability to hold cash collateral at a central bank, the clearinghouse utilizes its access to the central bank system to minimize credit risk exposures. When funds are not held at a central bank, we seek to substantially mitigate credit risk by ensuring that investments are primarily placed in large, highly rated financial institutions, highly rated government debt instruments and other creditworthy counterparties.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Liquidity Risk:</w:t>
      </w:r>
      <w:r>
        <w:rPr>
          <w:color w:val="000000"/>
        </w:rPr>
        <w:t xml:space="preserve"> </w:t>
      </w:r>
      <w:r>
        <w:rPr>
          <w:rFonts w:ascii="Times New Roman;sans-serif" w:hAnsi="Times New Roman;sans-serif"/>
          <w:b w:val="false"/>
          <w:color w:val="000000"/>
          <w:sz w:val="20"/>
        </w:rPr>
        <w:t>Liquidity risk is the risk a clearinghouse may not be able to meet its payment obligations in the right currency, in the right place and the right time. To mitigate this risk, the clearinghouse monitors liquidity requirements closely and maintains funds and assets in a manner which minimizes the risk of loss or delay in the access by the clearinghouse to such funds and assets. For example, holding funds with a central bank where possible or investing in highly liquid government debt instruments serves to reduce liquidity risks.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Interest Rate Risk: </w:t>
      </w:r>
      <w:r>
        <w:rPr>
          <w:rFonts w:ascii="Times New Roman;sans-serif" w:hAnsi="Times New Roman;sans-serif"/>
          <w:b w:val="false"/>
          <w:color w:val="000000"/>
          <w:sz w:val="20"/>
        </w:rPr>
        <w:t>Interest rate risk is the risk that interest rates rise causing the value of purchased securities to decline. If we were required to sell securities prior to maturity, and interest rates had risen, the sale of the securities might be made at a loss relative to the latest market price. Our clearinghouse seeks to manage this risk by making short term investments of members’ cash deposits. In addition, the clearinghouse investment guidelines allow for direct purchases or repurchase agreements with short dated maturities of high quality sovereign debt (for example, European government and U.S. Treasury securities), central bank certificates and multilateral development bank debt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Security Issuer Risk:</w:t>
      </w:r>
      <w:r>
        <w:rPr>
          <w:color w:val="000000"/>
        </w:rPr>
        <w:t xml:space="preserve"> </w:t>
      </w:r>
      <w:r>
        <w:rPr>
          <w:rFonts w:ascii="Times New Roman;sans-serif" w:hAnsi="Times New Roman;sans-serif"/>
          <w:b w:val="false"/>
          <w:color w:val="000000"/>
          <w:sz w:val="20"/>
        </w:rPr>
        <w:t>Security issuer risk is the risk that an issuer of a security defaults on its payment when the security matures. This risk is mitigated by limiting allowable investments and collateral under reverse repurchase agreements to high quality sovereign, government agency or multilateral development bank debt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 </w:t>
      </w:r>
    </w:p>
    <w:p>
      <w:pPr>
        <w:pStyle w:val="TextBody"/>
        <w:bidi w:val="0"/>
        <w:spacing w:lineRule="auto" w:line="288" w:before="120" w:after="283"/>
        <w:jc w:val="both"/>
        <w:rPr/>
      </w:pPr>
      <w:r>
        <w:rPr>
          <w:rFonts w:ascii="Times New Roman;sans-serif" w:hAnsi="Times New Roman;sans-serif"/>
          <w:b w:val="false"/>
          <w:color w:val="000000"/>
          <w:sz w:val="20"/>
        </w:rPr>
        <w:t>The preparation of financial statements and related disclosures in conformity with U.S. GAAP requires management to make judgments, assumptions, and estimates that affect the amounts reported in the consolidated financial statements and accompanying notes. Note 2, “Summary of Significant Accounting Policies,” to the consolidated financial statements describes the significant accounting policies and methods used in the preparation of the consolidated financial statements. The accounting policies described below are significantly affected by critical accounting estimates. Such accounting policies require significant judgments, assumptions, and estimates used in the preparation of the consolidated financial statements, and actual results could differ materially from the amounts reported based on these policies</w:t>
      </w:r>
      <w:r>
        <w:rPr>
          <w:rFonts w:ascii="Times New Roman;sans-serif" w:hAnsi="Times New Roman;sans-serif"/>
          <w:b w:val="false"/>
          <w:color w:val="252525"/>
          <w:sz w:val="20"/>
        </w:rPr>
        <w: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market technology product offering, within our Capital Markets Technology business, we enter into certain long-term contracts with customers to develop customized technology solutions, license the right to use software and provide support and other services to our customers which results in these contracts containing multiple performance obligations. We allocate the contract transaction price to each performance obligation using our best estimate of the standalone selling price of each distinct good or service in the contract. In instances where standalone selling price is not directly observable, such as when we do not sell the product or service separately, we determine the standalone selling price predominantly through an expected cost plus a margin approach.</w:t>
      </w:r>
    </w:p>
    <w:p>
      <w:pPr>
        <w:pStyle w:val="TextBody"/>
        <w:bidi w:val="0"/>
        <w:spacing w:lineRule="auto" w:line="288" w:before="132"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 relative to total estimated costs at completion to measure progress toward satisfying our performance obligation. Incurred costs represent work performed, which corresponds with, and thereby depicts, the transfer of control to the customer.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our long-term contracts requires judgment relative to assessing risks and their impact on the estimate of revenues and costs. Our estimates are impacted by factors such as the potential for schedule and technical issues,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productivity and the complexity of work performed. Revenue and cost estimates for our long-term contracts are reviewed and reassessed at least quarterly.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Calypso product, also part of our Capital Markets Technology business, provides cross-asset, front-to-back trading, treasury, risk and collateral management solutions for the financial markets. This offering is also provided as an on-premises software solution. A license for on-premises software provides customers with the right to use the software at its current state at the time made available to the customer. These contracts generally consist of the following distinct performance obligations: license and PCS. In allocating the contractual price to each performance obligation, we have used our best estimate of the stand-alone selling price. Consideration is first allocated to performance obligations with established stand-alone selling prices based on observable evidence, with the residual being split between license and PCS.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License revenue is recognized upfront at the point in time when the software is made available to the customer as this is the point the user of the software can direct the use of and obtain substantially all of the remaining benefits from the software license. PCS revenue is recognized over time on a ratable basis over the contract period beginning on the date that our service is made available to the customer since the customer receives and consumes the benefit as Nasdaq provides the service.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for these contracts requires judgment relative to the allocation of the contractual price to each performance obligation.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significance of judgment in the estimation process, as discussed above, changes in assumptions and estimates may adversely or positively affect financial performance in future periods.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related to recognition of these revenues, see “Revenue From Contracts with Customers - Revenue Recognition - Capital Markets Technology,” of Note 2, “Summary of Significant Accounting Policies,” to the consolidated financial statements.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business acquisitions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recorded as goodwill. Within one year from the date of acquisition, we may update the value allocated to the assets acquired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assumed, and the resulting goodwill balance, based on information received regarding the valuation of such assets and liabilities that was not available at the time of purchase.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various methods to determine fair value depending on the type of assets acquired and liabilities assumed. We make estimates and assumptions about projected future cash flows including, but not limited to, forecasted revenue, cash flows, attrition rates, long term growth rates, royalty rates, EBITDA margin and discount rates.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in estimating the fair value of assets acquired and liabilities assumed and in assigning useful lives to certain definite-lived intangible and tangible assets. Accordingly, we may engage third-party valuation specialists to assist in these determinations. The fair value estimates are based on available information as of the acquisition date and assumptions deemed reasonable by management but are inherently uncertain.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2024 we recorded a purchase accounting adjustment to the estimated purchase price allocation shown above, and disclosed as of December 31, 2023. This adjustment relates to the impact of the change from upfront to ratable revenue recognition for AxiomSL on-premises contracts entered into prior to the acquisition date, as described above, and decreased accrued income (which reflects revenue earned but not yet billed and included in receivables above) by $46 million, increased deferred revenue by $56 million and increased goodwill by $77 million, net of a deferred tax asset of $25 million. During 2023 and 2022, we have not recorded any material measurement period adjustments to purchase price allocations.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4, “Acquisition,” to the consolidated financial statements for further discussion of the Adenza Acquisition.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Goodwill, Indefinite-Lived Intangible Assets and Related Impairment Testing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recognize specifically identifiable intangibles, such as customer relationships, technology, exchange and clearing registrations, trade names and licenses when a specific right or contract is acquired. Goodwill and intangible assets deemed to have indefinite useful lives, primarily exchange and clearing registrations, are not amortized but instead are tested for impairment at least annually as of October 1 and more frequently whenever events or changes in circumstances indicate that the fair value of the asset may be less than its carrying amount, such as changes in the business climate, poor indicators of operating performance or the sale or disposition of a significant portion of a reporting unit. We perform our goodwill impairment test at the reporting unit level for our three reporting units: Capital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Access Platforms, Financial Technology and Market Services segments.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testing goodwill and indefinite-lived intangible assets for impairment, we have the option of first performing a qualitative assessment to determine whether it is more likely than not that the fair value of a reporting unit or indefinite-lived intangible asset is less than their respective carrying amounts as the basis to determine if it is necessary to perform a quantitative impairment test. If we choose not to complete a qualitative assessment, or if the initial assessment indicates that it is more likely than not that the carrying amount of a reporting unit or the carrying amount of an indefinite-lived intangible asset exceeds their respective estimated fair values, a quantitative test is required. Our decision to perform a qualitative impairment assessment in a given year is influenced by a number of factors, including but not limited to, the size of the reporting unit’s goodwill, the significance of the excess of the reporting unit’s estimated fair value or the indefinite-lived intangible asset’s fair value over their respective carrying amounts at the last quantitative assessment date, and the amount of time in between quantitative fair value assessments.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a quantitative impairment test, we compare the fair value of each reporting unit and indefinite-lived intangible asset with their respective carrying amounts. The fair value of each reporting unit is estimated using a combination of a discounted cash flow valuation, which incorporates assumptions regarding future growth rates, terminal values, and discount rates, as well as guideline public company valuations, which incorporates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The fair value of indefinite-lived intangible assets is primarily determined on the basis of estimated discounted value, using the Greenfield Approach for exchange and clearing registrations and licenses, and the relief from royalty approach or excess earnings approach for trade names, both of which incorporate assumptions regarding future revenue projections and discount rates. If the carrying amounts of the reporting unit or the indefinite-lived intangible asset exceed their respective fair values, an impairment charge is recognized in an amount equal to the difference, limited to the total amount of goodwill allocated to that reporting unit or the total carrying value of the indefinite-lived intangible asset.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value of goodwill for our reportable segments at the time of our 2024 annual impairment test:</w:t>
      </w:r>
    </w:p>
    <w:tbl>
      <w:tblPr>
        <w:tblW w:w="2998" w:type="dxa"/>
        <w:jc w:val="left"/>
        <w:tblInd w:w="0" w:type="dxa"/>
        <w:tblLayout w:type="fixed"/>
        <w:tblCellMar>
          <w:top w:w="28" w:type="dxa"/>
          <w:left w:w="28" w:type="dxa"/>
          <w:bottom w:w="28" w:type="dxa"/>
          <w:right w:w="28" w:type="dxa"/>
        </w:tblCellMar>
      </w:tblPr>
      <w:tblGrid>
        <w:gridCol w:w="690"/>
        <w:gridCol w:w="606"/>
        <w:gridCol w:w="608"/>
        <w:gridCol w:w="215"/>
        <w:gridCol w:w="710"/>
        <w:gridCol w:w="169"/>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1, 2024</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Access Platforms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Financial Technology </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Market Services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we performed a qualitative impairment test for goodwill on all reporting units and indefinite-lived intangible assets, as the excesses of their fair values over their respective carrying amounts, at the time of the last quantitative test in 2023, were significant. In conducting the qualitative assessment, we evaluated the performance of each of these reporting units and indefinite-lived intangible assets since the last quantitative test, as well as future financial projections to determine if there were any changes in the key inputs used to determine their respective fair values. We also considered the qualitative factors in FASB ASC Topic 350, “Intangibles–Goodwill and Other,” as well as other relevant events and circumstances. Based on the results of the qualitative assessment for each reporting unit and indefinite-lived intangible asset, and the predominance of positive indicators and the weight of such indicators, we concluded that the fair values of our reporting units and indefinite-lived intangible assets are more likely than not greater than their respective carrying amounts and as a result, quantitative analyses were not needed. No impairment of goodwill or indefinite-lived intangible assets was recorded in 2024, 2023 and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our estimates of fair value are reasonable, the determination of certain valuation inputs is subject to management’s judgment. Changes in these inputs could materially affect the results of our impairment review. If our forecasts of cash flows or other key inputs are negatively revised in the future, the estimated fair value of each reporting unit and of our indefinite-lived intangible assets would be adversely impacted, potentially leading to an impairment in the future that could materially affect our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our annual impairment test, no indications of impairment were identified.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Other Long-Lived Assets and Related Impairment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review our other long-lived assets, such as finite-lived intangible assets, property and equipment, and operating lease assets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Any required impairment loss is measured as the amount by which the carrying amount of the asset exceeds its fair value and is recorded as a reduction in the carrying amount of the related asset and a charge to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material finite-lived intangible assets impairment charges in 2024, 2023 and 2022.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pre-tax, non-cash property and equipment asset impairment charges, primarily in relation to our restructuring programs of $37 million in 2024, $12 million in 2023 and $8 million in 2022. See Note 20, “Restructuring Charges,” to the consolidated financial statements for a discussion of these plans.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initiated a review of our real estate and facility capacity requirements due to our new and evolving work models. As a result of this ongoing review, we recorded impairment charges of $23 million in 2023 of which $18 million related to operating lease asset impairment and exit costs and is included in occupancy expense in the Consolidated Statements of Income and $5 million related to impairment of leasehold improvements, which are recorded in depreciation and amortization expense in the Consolidated Statements of Income.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material impairments were recorded to reduce the carrying value of our other long-lived assets during 2024, 2023 or 2022.</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revenues and expenses.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7A. Quantitative and Qualitative Disclosures About Market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quantitative and qualitative disclosures about market risk is incorporated herein by reference from “Item 7. Management’s Discussion and Analysis of Financial Condition and Results of Operations -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8. Financial Statements and Supplementary Data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Nasdaq’s consolidated financial statements, including Consolidated Balance Sheets as of December 31, 2024 and 2023, Consolidated Statements of Income for the years ended December 31, 2024, 2023 and 2022, Consolidated Statements of Comprehensive Income for the years ended December 31, 2024, 2023 and 2022, Consolidated Statements of Changes in Stockholders’ Equity for the years ended December 31, 2024, 2023 and 2022, Consolidated Statements of Cash Flows for the years ended December 31, 2024, 2023 and 2022 and notes to our consolidated financial statements, together with a report thereon of Ernst &amp; Young LLP, dated February 21, 2025, are attached hereto as pages F-1 through F-44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rFonts w:ascii="Times New Roman;sans-serif" w:hAnsi="Times New Roman;sans-serif"/>
          <w:b/>
          <w:color w:val="0092BC"/>
          <w:sz w:val="20"/>
        </w:rPr>
      </w:pPr>
      <w:r>
        <w:rPr>
          <w:rFonts w:ascii="Times New Roman;sans-serif" w:hAnsi="Times New Roman;sans-serif"/>
          <w:b/>
          <w:color w:val="0092BC"/>
          <w:sz w:val="20"/>
        </w:rPr>
        <w:t>Item 9. Changes in and Disagreements with Accountants on Accounting and Financial Disclosure</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9A. Controls and Procedures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Nasdaq’s management, with the participation of Nasdaq’s Chief Executive Officer, and Executive Vice President and Chief Financial Officer, has evaluated the effectiveness of Nasdaq’s disclosure controls and procedures (as defined in Rule 13a-15(e) and Rule 15d-15(e) under the Exchange Act) as of the end of the period covered by this report. Based upon that evaluation, Nasdaq’s Chief Executive Officer and Executive Vice President and Chief Financial Officer, have concluded that, as of the end of such period, Nasdaq’s disclosure controls and procedures are effective.</w:t>
      </w:r>
    </w:p>
    <w:p>
      <w:pPr>
        <w:pStyle w:val="TextBody"/>
        <w:bidi w:val="0"/>
        <w:spacing w:lineRule="auto" w:line="288" w:before="120" w:after="283"/>
        <w:jc w:val="both"/>
        <w:rPr/>
      </w:pPr>
      <w:r>
        <w:rPr>
          <w:rFonts w:ascii="Times New Roman;sans-serif" w:hAnsi="Times New Roman;sans-serif"/>
          <w:b/>
          <w:color w:val="000000"/>
          <w:sz w:val="20"/>
        </w:rPr>
        <w:t>Changes in Internal Control Over Financial Reporting</w:t>
      </w:r>
      <w:r>
        <w:rPr>
          <w:color w:val="000000"/>
        </w:rPr>
        <w:t xml:space="preserve"> </w:t>
      </w:r>
      <w:r>
        <w:rPr>
          <w:rFonts w:ascii="Times New Roman;sans-serif" w:hAnsi="Times New Roman;sans-serif"/>
          <w:b w:val="false"/>
          <w:color w:val="000000"/>
          <w:sz w:val="20"/>
        </w:rPr>
        <w:t>There have been no changes in Nasdaq’s internal control over financial reporting (as defined in Rule 13a-15(f) and Rule 15d-15(f) under the Exchange Act) that occurred during the quarter ended December 31, 2024 that have materially affected, or are reasonably likely to materially affect, Nasdaq’s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also responsible for establishing and maintaining adequate internal control over Nasdaq’s financial reporting. Although there are inherent limitations in the effectiveness of any system of internal control over financial reporting, or ICFR,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assessed the effectiveness of our internal control over financial reporting as of December 31, 2024,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its assessment, our management believes that, as of December 31, 2024, our internal control over financial reporting is effective.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Ernst &amp; Young LLP, an independent registered public accounting firm, has issued an attestation report on Nasdaq’s internal control over financial reporting, which is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Nasdaq, Inc.</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Nasdaq, Inc.’s internal control over financial reporting as of December 31, 2024, based on criteria established in Internal Control—Integrated Framework issued by the Committee of Sponsoring Organizations of the Treadway Commission (2013 framework) (the COSO criteria). In our opinion, Nasdaq, Inc. (the Company) maintained, in all material respects, effective internal control over financial reporting as of December 31, 2024, based on the COSO criteria.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2024 and 2023, the related consolidated statements of income, comprehensive income, changes in stockholders’ equity and cash flows for each of the three years in the period ended December 31, 2024, and the related notes and our report dated February 21, 2025 expressed an unqualified opinion thereon.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Definition and Limitations of Internal Control Over Financial Reporting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both"/>
        <w:rPr/>
      </w:pPr>
      <w:r>
        <w:rPr/>
      </w:r>
    </w:p>
    <w:p>
      <w:pPr>
        <w:pStyle w:val="TextBody"/>
        <w:bidi w:val="0"/>
        <w:spacing w:before="180" w:after="283"/>
        <w:jc w:val="both"/>
        <w:rPr/>
      </w:pPr>
      <w:r>
        <w:rPr/>
      </w:r>
    </w:p>
    <w:p>
      <w:pPr>
        <w:pStyle w:val="TextBody"/>
        <w:bidi w:val="0"/>
        <w:spacing w:lineRule="auto" w:line="288" w:before="180" w:after="283"/>
        <w:jc w:val="right"/>
        <w:rPr/>
      </w:pPr>
      <w:r>
        <w:rPr>
          <w:rFonts w:ascii="Times New Roman;sans-serif" w:hAnsi="Times New Roman;sans-serif"/>
          <w:b w:val="false"/>
          <w:color w:val="000000"/>
          <w:sz w:val="20"/>
        </w:rPr>
        <w:t>/s/</w:t>
      </w:r>
      <w:r>
        <w:rPr>
          <w:color w:val="000000"/>
        </w:rPr>
        <w:t xml:space="preserve"> </w:t>
      </w:r>
      <w:r>
        <w:rPr>
          <w:rFonts w:ascii="Times New Roman;sans-serif" w:hAnsi="Times New Roman;sans-serif"/>
          <w:b w:val="false"/>
          <w:i/>
          <w:color w:val="000000"/>
          <w:sz w:val="20"/>
        </w:rPr>
        <w:t>Ernst &amp; Young LLP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92BC"/>
          <w:sz w:val="20"/>
        </w:rPr>
      </w:pPr>
      <w:r>
        <w:rPr>
          <w:rFonts w:ascii="Times New Roman;sans-serif" w:hAnsi="Times New Roman;sans-serif"/>
          <w:b/>
          <w:color w:val="0092BC"/>
          <w:sz w:val="20"/>
        </w:rPr>
        <w:t>Item 9B. Other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2024, none of the Company’s directors or officers adopted, terminated or modified a “Rule 10b5-1 trading arrangement” or “non-Rule 10b5-1 trading arrangement” (as such terms are defined in Item 408 of Regulation S-K) except as follows and each of which is intended to satisfy the affirmative defense of Rule 10b5-1(c): (i) on November 1, 2024, Bradley J. Peterson, Executive Vice President and Chief Information Officer/Chief Technology Officer, adopted a Rule 10b5-1 trading plan for the sale of our common stock in the following amounts: (a) up to 100% of the net vested shares resulting from the vesting of 4,719 restricted stock units on April 1, 2025, (b) up to 100% of the net vested shares resulting from the vesting of 22,494 restricted stock units on July 1, 2025 and (c) up to 100% of the net vested shares upon the settlement of 28,020 performance share units on or about February 19, 2025, with each of the foregoing subject to certain conditions and which plan expires on August 1, 2025 and (ii) on December 12, 2024, Sarah Youngwood, Executive Vice President and Chief Financial Officer, adopted a Rule 10b5-1 trading plan for the sale of 14,959 shares of our common stock, subject to certain conditions and which expires on March 31, 2025. Vested shares are net of tax withholding.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9C. Disclosure Regarding Foreign Jurisdictions that Prevent Inspections</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10. Directors, Executive Officers and Corporate Governance</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Nasdaq’s directors, as required by Item 401 of Regulation S-K, is incorporated by reference, if applicable, from the discussion under the caption “Director Nominees” in Nasdaq’s Proxy Statement. Information about Nasdaq’s executive officers, as required by Item 401 of Regulation S-K, is incorporated by reference from the discussion under the caption “Other Items-Executive Officers” in the Proxy Statement. Information about Section 16 reports, as required by Item 405 of Regulation S-K, is incorporated by reference from the discussion under the caption “Other Items-Delinquent Section 16(a) Reports” in the Proxy Statement. Information about Nasdaq’s code of ethics, as required by Item 406 of Regulation S-K, is incorporated by reference from the discussion under the caption “Operating with Integrity” in the Proxy Statement. Information about Nasdaq’s nomination procedures, Audit &amp; Risk Committee and Audit &amp; Risk Committee financial experts, as required by Items 407(c)(3), 407(d)(4) and 407(d)(5) of Regulation S-K, is incorporated by reference from the discussions under the headings “Director Nominees” and “Board Committees” in the Proxy Statement.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has an insider trading policy governing the purchase, sale and other dispositions of Nasdaq’s securities that applies to all Nasdaq personnel, including directors, officers, employees, and other covered persons, as well as Nasdaq itself. Nasdaq also follows procedures for the repurchase of its securities. Nasdaq believes that its insider trading policy is reasonably designed to promote compliance with insider trading laws, rules and regulations, as well as applicable listing standards. A copy of Nasdaq’s insider trading policy is filed as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11. Executive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Nasdaq’s director and executive compensation, as required by Items 402, 407(e)(4) and 407(e)(5) of Regulation S-K, is incorporated by reference from the discussions under the headings “Director Compensation” and “Executive Compensation” (except under “Pay versus Performance”)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12. Security Ownership of Certain Beneficial Owners and Management and Related Stockholder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security ownership of certain beneficial owners and management, as required by Item 403 of Regulation S-K, is incorporated by reference from the discussion under the heading “Other Items-Security Ownership of Certain Beneficial Owners and Management”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Equity Compensation Plan and ESPP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Nasdaq’s Equity Plan provides for the issuance of our equity securities to all employees and directors as part of their compensation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jurisdictions where participation in the ESPP is permitted, all our employees are eligible. Employees may purchase shares of our common stock at a 15% discount to the lesser of the closing price of our common stock on (i) the first trading day of the offering period or (ii) the last trading day of the offering period. Offering periods under the ESPP are six months in duration. As of December 31, 2024, all our employees are eligible to participate.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Equity Plan and the ESPP have been previously approved by our stockholders. The following table sets forth information regarding outstanding options and shares reserved for future issuance under all of Nasdaq’s compensation plans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8"/>
        <w:gridCol w:w="1095"/>
        <w:gridCol w:w="1101"/>
        <w:gridCol w:w="109"/>
        <w:gridCol w:w="109"/>
        <w:gridCol w:w="109"/>
        <w:gridCol w:w="791"/>
        <w:gridCol w:w="636"/>
        <w:gridCol w:w="638"/>
        <w:gridCol w:w="109"/>
        <w:gridCol w:w="109"/>
        <w:gridCol w:w="109"/>
        <w:gridCol w:w="302"/>
        <w:gridCol w:w="886"/>
        <w:gridCol w:w="158"/>
        <w:gridCol w:w="109"/>
        <w:gridCol w:w="109"/>
        <w:gridCol w:w="109"/>
        <w:gridCol w:w="839"/>
        <w:gridCol w:w="630"/>
        <w:gridCol w:w="900"/>
      </w:tblGrid>
      <w:tr>
        <w:trPr/>
        <w:tc>
          <w:tcPr>
            <w:tcW w:w="124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3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Number of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shares</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 be issued upon exercise of outstanding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options, warrants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and rights(a)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Weighted-average</w:t>
              <w:br/>
              <w:t> exercise price of</w:t>
              <w:br/>
              <w:t>outstanding </w:t>
              <w:br/>
              <w:t>options, warrants and </w:t>
              <w:br/>
              <w:t>rights(b)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Number of </w:t>
              <w:br/>
              <w:t>shares remaining </w:t>
              <w:br/>
              <w:t>available</w:t>
              <w:br/>
              <w:t>for future issuance under equity compensation </w:t>
              <w:br/>
              <w:t>plans (excluding shares reflected in </w:t>
              <w:br/>
              <w:t>column(a))(c)</w:t>
            </w:r>
          </w:p>
        </w:tc>
      </w:tr>
      <w:tr>
        <w:trPr/>
        <w:tc>
          <w:tcPr>
            <w:tcW w:w="3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1,420,323 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33,615,389 </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1,420,323 </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33,615,389 </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table above: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As of December 31, 2024, we also had 6,353,018 shares to be issued upon vesting of outstanding restricted stock and PSUs.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number of shares remaining available for future issuance under equity compensation plans (excluding shares reflected in column (a) includes 22,886,514 shares of common stock that may be awarded pursuant to the Equity Plan and (b) 10,728,875 shares of common stock that may be issued pursuant to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13. Certain Relationships and Related Transactions, and Director Independence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certain relationships and related transactions, as required by Item 404 of Regulation S-K, is incorporated herein by reference from the discussion under the heading “Other Items-Certain Relationships and Related Transactions” in the Proxy Statement. Information about director independence, as required by Item 407(a) of Regulation S-K, is incorporated herein by reference from the discussion under the heading “Director Nominees”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14. Principal Accountant Fees and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principal accountant fees and services, as required by Item 9(e) of Schedule 14A, is incorporated herein by reference from the discussion under the heading “Annual Evaluation and 2025 Selection of the Independent Auditors” in the Proxy Statement.</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92BC"/>
          <w:sz w:val="20"/>
        </w:rPr>
      </w:pPr>
      <w:r>
        <w:rPr>
          <w:rFonts w:ascii="Times New Roman;sans-serif" w:hAnsi="Times New Roman;sans-serif"/>
          <w:b/>
          <w:color w:val="0092BC"/>
          <w:sz w:val="20"/>
        </w:rPr>
        <w:t>Item 15. Exhibits and Financial Statement Schedules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(a)(1)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they are not applicable or the required information is included in the consolidated financial statements or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(a)(3) Exhibits</w:t>
      </w:r>
    </w:p>
    <w:tbl>
      <w:tblPr>
        <w:tblW w:w="10205" w:type="dxa"/>
        <w:jc w:val="left"/>
        <w:tblInd w:w="0" w:type="dxa"/>
        <w:tblLayout w:type="fixed"/>
        <w:tblCellMar>
          <w:top w:w="28" w:type="dxa"/>
          <w:left w:w="28" w:type="dxa"/>
          <w:bottom w:w="28" w:type="dxa"/>
          <w:right w:w="28" w:type="dxa"/>
        </w:tblCellMar>
      </w:tblPr>
      <w:tblGrid>
        <w:gridCol w:w="247"/>
        <w:gridCol w:w="217"/>
        <w:gridCol w:w="219"/>
        <w:gridCol w:w="109"/>
        <w:gridCol w:w="109"/>
        <w:gridCol w:w="109"/>
        <w:gridCol w:w="2691"/>
        <w:gridCol w:w="2691"/>
        <w:gridCol w:w="3813"/>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ans-serif" w:hAnsi="Times New Roman;sans-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 Purchase Agreement, dated as of November 18, 2020, by and among Osprey Acquisition Corporation, a wholly owned subsidiary of Nasdaq, Verafin Holdings Inc., certain shareholders of Verafin (the “Sellers”), and Shareholder Representative Services LLC, solely in its capacity as the representative of the Sellers (incorporated herein by reference to Exhibit 2.2 to the Annual Report on Form 10-K for the year ended December 31, 2020 filed on February 23, 2021).†</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20"/>
                  <w:u w:val="single"/>
                </w:rPr>
                <w:t>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Share Purchase Agreement, dated as of February 11, 2021, by and among Osprey Acquisition Corporation, a wholly owned subsidiary of Nasdaq, Verafin Holdings Inc., certain shareholders of Verafin (the “Sellers”), and Shareholder Representative Services LLC, solely in its capacity as the representative of the Sellers (incorporated herein by reference to Exhibit 2.3 to the Annual Report on Form 10-K for the year ended December 31, 2020 filed on February 23, 2021).</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ans-serif" w:hAnsi="Times New Roman;sans-serif"/>
                  <w:b w:val="false"/>
                  <w:color w:val="0000FF"/>
                  <w:sz w:val="20"/>
                  <w:u w:val="single"/>
                </w:rPr>
                <w:t>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and Plan of Merger, dated as of June 10, 2023, by and among Nasdaq, Inc., Argus Merger Sub 1, Inc., Argus Merger Sub 2, LLC, Adenza Holdings, Inc. and Adenza Parent, LP. (incorporated herein by reference to Exhibit 2.1 to the Current Report on Form 8-K filed on June 12, 2023).†</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Nasdaq (incorporated herein by reference to Exhibit 3.1 to the Current Report on Form 8-K filed on January 28, 2014).</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Elimination of Nasdaq’s Series A Convertible Preferred Stock (incorporated herein by reference to Exhibit 3.1.1 to the Current Report on Form 8-K filed on January 28, 2014).</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of Nasdaq’s Amended and Restated Certificate of Incorporation (incorporated herein by reference to Exhibit 3.1 to the Current Report on Form 8-K filed on November 19, 2014).</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0"/>
        <w:gridCol w:w="167"/>
        <w:gridCol w:w="169"/>
        <w:gridCol w:w="109"/>
        <w:gridCol w:w="109"/>
        <w:gridCol w:w="109"/>
        <w:gridCol w:w="2865"/>
        <w:gridCol w:w="2683"/>
        <w:gridCol w:w="380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ans-serif" w:hAnsi="Times New Roman;sans-serif"/>
                  <w:b w:val="false"/>
                  <w:color w:val="0000FF"/>
                  <w:sz w:val="20"/>
                  <w:u w:val="single"/>
                </w:rPr>
                <w:t>3.1.3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of Nasdaq’s Amended and Restated Certificate of Incorporation (incorporated herein by reference to Exhibit 3.1 to the Current Report on Form 8-K filed on September 8, 2015).</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ans-serif" w:hAnsi="Times New Roman;sans-serif"/>
                  <w:b w:val="false"/>
                  <w:color w:val="0000FF"/>
                  <w:sz w:val="20"/>
                  <w:u w:val="single"/>
                </w:rPr>
                <w:t>3.1.4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of Nasdaq’s Amended and Restated Certificate of Incorporation (incorporated herein by reference to Exhibit 3.1 to the Current Report on Form 8-K filed on July 20, 2022).</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ans-serif" w:hAnsi="Times New Roman;sans-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Nasdaq’s By-Laws (incorporated herein by reference to Exhibit 3.2 to the Current Report on Form 8-K filed on November 21, 2016).</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ans-serif" w:hAnsi="Times New Roman;sans-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Common Stock certificate (incorporated herein by reference to Exhibit 4.1 to the Quarterly Report on Form 10-Q for the quarter ended September 30, 2015 filed on November 4, 2015).</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Agreement, dated as of February 27, 2008, between Nasdaq, Inc. (f/k/a The NASDAQ OMX Group, Inc.) and Borse Dubai Limited (incorporated herein by reference to Exhibit 10.2 to the Current Report on Form 8-K filed on March 3, 2008).</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ans-serif" w:hAnsi="Times New Roman;sans-serif"/>
                  <w:b w:val="false"/>
                  <w:color w:val="000080"/>
                  <w:sz w:val="20"/>
                  <w:u w:val="single"/>
                </w:rPr>
                <w:t>4</w:t>
              </w:r>
            </w:hyperlink>
            <w:hyperlink r:id="rId23">
              <w:r>
                <w:rPr>
                  <w:rStyle w:val="InternetLink"/>
                  <w:rFonts w:ascii="Times New Roman;sans-serif" w:hAnsi="Times New Roman;sans-serif"/>
                  <w:b w:val="false"/>
                  <w:color w:val="000080"/>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Stockholders’ Agreement, dated as of February 19, 2009, between Nasdaq, Inc. (f/k/a The NASDAQ OMX Group, Inc.) and Borse Dubai Limited (incorporated herein by reference to Exhibit 4.10.1 to the Annual Report on Form 10-K for the year ended December 31, 2008 filed on February 27, 2009).</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ans-serif" w:hAnsi="Times New Roman;sans-serif"/>
                  <w:b w:val="false"/>
                  <w:color w:val="0000FF"/>
                  <w:sz w:val="20"/>
                  <w:u w:val="single"/>
                </w:rPr>
                <w:t>4.2.2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Nasdaq Stockholders’ Agreement, dated as of March 19, 2024, by and between Nasdaq, Inc. and Borse Dubai Limited (incorporated herein by reference to Exhibit 4.1 to the Current Report on Form 8-K filed on March 20,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ans-serif" w:hAnsi="Times New Roman;sans-serif"/>
                  <w:b w:val="false"/>
                  <w:color w:val="0000FF"/>
                  <w:sz w:val="20"/>
                  <w:u w:val="single"/>
                </w:rPr>
                <w:t>4.3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as of February 27, 2008, among Nasdaq, Inc. (f/k/a The NASDAQ OMX Group, Inc.), Borse Dubai Limited and Borse Dubai Nasdaq Share Trust (incorporated herein by reference to Exhibit 10.3 to the Current Report on Form 8-K filed on March 3, 2008).</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ans-serif" w:hAnsi="Times New Roman;sans-serif"/>
                  <w:b w:val="false"/>
                  <w:color w:val="0000FF"/>
                  <w:sz w:val="20"/>
                  <w:u w:val="single"/>
                </w:rPr>
                <w:t>4.3.1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Registration Rights Agreement, dated as of February 19, 2009, among Nasdaq, Inc. (f/k/a The NASDAQ OMX Group, Inc.), Borse Dubai Limited and Borse Dubai Nasdaq Share Trust (incorporated herein by reference to Exhibit 4.11.1 to the Annual Report on Form 10-K for the year ended December 31, 2008 filed on February 27, 2009).</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ans-serif" w:hAnsi="Times New Roman;sans-serif"/>
                  <w:b w:val="false"/>
                  <w:color w:val="0000FF"/>
                  <w:sz w:val="20"/>
                  <w:u w:val="single"/>
                </w:rPr>
                <w:t>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Agreement, dated as of December 16, 2010, between Nasdaq, Inc. (f/k/a The NASDAQ OMX Group, Inc.) and Investor AB (incorporated herein by reference to Exhibit 4.12 to the Annual Report on Form 10-K for the year ended December 31, 2010 filed on February 24, 2011).</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0"/>
        <w:gridCol w:w="167"/>
        <w:gridCol w:w="169"/>
        <w:gridCol w:w="109"/>
        <w:gridCol w:w="109"/>
        <w:gridCol w:w="109"/>
        <w:gridCol w:w="2733"/>
        <w:gridCol w:w="2733"/>
        <w:gridCol w:w="388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ans-serif" w:hAnsi="Times New Roman;sans-serif"/>
                  <w:b w:val="false"/>
                  <w:color w:val="0000FF"/>
                  <w:sz w:val="20"/>
                  <w:u w:val="single"/>
                </w:rPr>
                <w:t>4.4.1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Nasdaq Stockholders’ Agreement, dated as of December 14, 2022, between Nasdaq, Inc. and Investor AB (incorporated herein by reference to Exhibit 4.1 to the Current Report on Form 8-K filed on December 16, 2022).</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ans-serif" w:hAnsi="Times New Roman;sans-serif"/>
                  <w:b w:val="false"/>
                  <w:color w:val="0000FF"/>
                  <w:sz w:val="20"/>
                  <w:u w:val="single"/>
                </w:rPr>
                <w:t>4.5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Agreement, dated as of November 1, 2023, by and among Nasdaq, Inc., Adenza Parent, LP and Thoma Bravo, L.P. (incorporated herein by reference to Exhibit 4.1 to the Current Report on Form 8-K filed on November 3, 2023).</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ans-serif" w:hAnsi="Times New Roman;sans-serif"/>
                  <w:b w:val="false"/>
                  <w:color w:val="0000FF"/>
                  <w:sz w:val="20"/>
                  <w:u w:val="single"/>
                </w:rPr>
                <w:t>4.6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as of November 1, 2023, by and among Nasdaq, Inc. and Adenza Parent, LP. (incorporated herein by reference to Exhibit 4.2 to the Current Report on Form 8-K filed on November 3, 2023).</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ans-serif" w:hAnsi="Times New Roman;sans-serif"/>
                  <w:b w:val="false"/>
                  <w:color w:val="0000FF"/>
                  <w:sz w:val="20"/>
                  <w:u w:val="single"/>
                </w:rPr>
                <w:t>4.7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June 7, 2013, between Nasdaq, Inc. (f/k/a The NASDAQ OMX Group, Inc.) and Wells Fargo Bank, National Association, as Trustee (incorporated herein by reference to Exhibit 4.1 to the Current Report on Form 8-K filed on June 10, 2013).</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ans-serif" w:hAnsi="Times New Roman;sans-serif"/>
                  <w:b w:val="false"/>
                  <w:color w:val="0000FF"/>
                  <w:sz w:val="20"/>
                  <w:u w:val="single"/>
                </w:rPr>
                <w:t>4.7.1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as of June 7, 2016, among Nasdaq, Inc. and Wells Fargo Bank, National Association, as Trustee (incorporated herein by reference to the Current Report on Form 8-K filed on June 7, 2016).</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ans-serif" w:hAnsi="Times New Roman;sans-serif"/>
                  <w:b w:val="false"/>
                  <w:color w:val="0000FF"/>
                  <w:sz w:val="20"/>
                  <w:u w:val="single"/>
                </w:rPr>
                <w:t>4.8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Sixth Supplemental Indenture, dated as of April 1, 2019, among Nasdaq, Inc., Wells Fargo Bank, National Association, as Trustee, and HSBC Bank USA, National Association, as paying agent and as registrar and transfer agent (incorporated herein by reference to Exhibit 4.2 to the Form 8-A filed on April 1, 2019).</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ans-serif" w:hAnsi="Times New Roman;sans-serif"/>
                  <w:b w:val="false"/>
                  <w:color w:val="0000FF"/>
                  <w:sz w:val="20"/>
                  <w:u w:val="single"/>
                </w:rPr>
                <w:t>4.9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Seventh Supplemental Indenture, dated February 13, 2020, among Nasdaq, Inc., Wells Fargo Bank, National Association, as Trustee, and HSBC Bank USA, National Association, as paying agent and as registrar and transfer agent (incorporated herein by reference to Exhibit 4.2 to the Company’s Form 8-A filed on February 13, 2020).</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ans-serif" w:hAnsi="Times New Roman;sans-serif"/>
                  <w:b w:val="false"/>
                  <w:color w:val="0000FF"/>
                  <w:sz w:val="20"/>
                  <w:u w:val="single"/>
                </w:rPr>
                <w:t>4.10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Eighth Supplemental Indenture, dated April 28, 2020, by and between Nasdaq, Inc. and Wells Fargo Bank, National Association, as Trustee (incorporated herein by reference to Exhibit 4.2 to the Current Report on Form 8-K filed on April 28, 2020).</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ans-serif" w:hAnsi="Times New Roman;sans-serif"/>
                  <w:b w:val="false"/>
                  <w:color w:val="0000FF"/>
                  <w:sz w:val="20"/>
                  <w:u w:val="single"/>
                </w:rPr>
                <w:t>4.11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Tenth Supplemental Indenture, dated December 21, 2020, by and between Nasdaq, Inc. and Wells Fargo Bank, National Association, as Trustee (incorporated herein by reference to Exhibit 4.3 to the Current Report on Form 8-K filed on December 21, 2020).</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ans-serif" w:hAnsi="Times New Roman;sans-serif"/>
                  <w:b w:val="false"/>
                  <w:color w:val="0000FF"/>
                  <w:sz w:val="20"/>
                  <w:u w:val="single"/>
                </w:rPr>
                <w:t>4.12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Eleventh Supplemental Indenture, dated December 21, 2020, by and between Nasdaq, Inc. and Wells Fargo Bank, National Association, as Trustee (incorporated herein by reference to Exhibit 4.4 to the Current Report on Form 8-K filed on December 21, 2020).</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801"/>
        <w:gridCol w:w="2723"/>
        <w:gridCol w:w="387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7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8">
              <w:r>
                <w:rPr>
                  <w:rStyle w:val="InternetLink"/>
                  <w:rFonts w:ascii="Times New Roman;sans-serif" w:hAnsi="Times New Roman;sans-serif"/>
                  <w:b w:val="false"/>
                  <w:color w:val="0000FF"/>
                  <w:sz w:val="20"/>
                  <w:u w:val="single"/>
                </w:rPr>
                <w:t>4.13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Twelfth Supplemental Indenture, dated July 30, 2021, by and among Nasdaq, Inc., Wells Fargo Bank, National Association, as Trustee and HSBC Bank USA, National Association, as registrar and transfer agent (incorporated herein by reference to Exhibit 4.2 to the Company’s Form 8-A filed on July 30, 2021).</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ans-serif" w:hAnsi="Times New Roman;sans-serif"/>
                  <w:b w:val="false"/>
                  <w:color w:val="0000FF"/>
                  <w:sz w:val="20"/>
                  <w:u w:val="single"/>
                </w:rPr>
                <w:t>4.14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Thirteenth Supplemental Indenture, dated as of March 7, 2022, by and between Nasdaq, Inc. and Computershare Trust Company, N.A. (as successor to Wells Fargo Bank, National Association), as trustee (incorporated herein by reference to Exhibit 4.2 to the Company’s Current Report on Form 8-K filed on March 7, 2022).</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0">
              <w:r>
                <w:rPr>
                  <w:rStyle w:val="InternetLink"/>
                  <w:rFonts w:ascii="Times New Roman;sans-serif" w:hAnsi="Times New Roman;sans-serif"/>
                  <w:b w:val="false"/>
                  <w:color w:val="0000FF"/>
                  <w:sz w:val="20"/>
                  <w:u w:val="single"/>
                </w:rPr>
                <w:t>4.15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Fourteenth Supplemental Indenture, dated as of June 28, 2023, by and between Nasdaq, Inc. and Computershare Trust Company, N.A. (as successor to Wells Fargo Bank, National Association), as trustee (incorporated herein by reference to Exhibit 4.2 to the Current Report on Form 8-K filed on June 28,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Times New Roman;sans-serif" w:hAnsi="Times New Roman;sans-serif"/>
                  <w:b w:val="false"/>
                  <w:color w:val="0000FF"/>
                  <w:sz w:val="20"/>
                  <w:u w:val="single"/>
                </w:rPr>
                <w:t>4.16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Fifteenth Supplemental Indenture, dated as of June 28, 2023, by and between Nasdaq, Inc. and Computershare Trust Company, N.A. (as successor to Wells Fargo Bank, National Association), as trustee (incorporated herein by reference to Exhibit 4.3 to the Current Report on Form 8-K filed on June 28,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2">
              <w:r>
                <w:rPr>
                  <w:rStyle w:val="InternetLink"/>
                  <w:rFonts w:ascii="Times New Roman;sans-serif" w:hAnsi="Times New Roman;sans-serif"/>
                  <w:b w:val="false"/>
                  <w:color w:val="0000FF"/>
                  <w:sz w:val="20"/>
                  <w:u w:val="single"/>
                </w:rPr>
                <w:t>4.17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Sixteenth Supplemental Indenture, dated as of June 28, 2023, by and between Nasdaq, Inc. and Computershare Trust Company, N.A. (as successor to Wells Fargo Bank, National Association), as trustee (incorporated herein by reference to Exhibit 4.4 to the Current Report on Form 8-K filed on June 28, 2023).</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Times New Roman;sans-serif" w:hAnsi="Times New Roman;sans-serif"/>
                  <w:b w:val="false"/>
                  <w:color w:val="0000FF"/>
                  <w:sz w:val="20"/>
                  <w:u w:val="single"/>
                </w:rPr>
                <w:t>4.18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Seventeenth Supplemental Indenture, dated as of June 28, 2023, by and between Nasdaq, Inc. and Computershare Trust Company, N.A. (as successor to Wells Fargo Bank, National Association), as trustee (incorporated herein by reference to Exhibit 4.5 to the Current Report on Form 8-K filed on June 28,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4">
              <w:r>
                <w:rPr>
                  <w:rStyle w:val="InternetLink"/>
                  <w:rFonts w:ascii="Times New Roman;sans-serif" w:hAnsi="Times New Roman;sans-serif"/>
                  <w:b w:val="false"/>
                  <w:color w:val="0000FF"/>
                  <w:sz w:val="20"/>
                  <w:u w:val="single"/>
                </w:rPr>
                <w:t>4.19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Eighteenth Supplemental Indenture, dated as of June 28, 2023, by and between Nasdaq, Inc. and Computershare Trust Company, N.A. (as successor to Wells Fargo Bank, National Association), as trustee (incorporated herein by reference to Exhibit 4.6 to the Current Report on Form 8-K filed on June 28,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5">
              <w:r>
                <w:rPr>
                  <w:rStyle w:val="InternetLink"/>
                  <w:rFonts w:ascii="Times New Roman;sans-serif" w:hAnsi="Times New Roman;sans-serif"/>
                  <w:b w:val="false"/>
                  <w:color w:val="0000FF"/>
                  <w:sz w:val="20"/>
                  <w:u w:val="single"/>
                </w:rPr>
                <w:t>4.20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Nineteenth Supplemental Indenture, dated as of June 28, 2023, by and between Nasdaq, Inc. and Computershare Trust Company, N.A. (as successor to Wells Fargo Bank, National Association), as trustee and HSBC Bank USA, National Association, as paying agent, registrar and transfer agent (incorporated herein by reference to Exhibit 4.7 to the Current Report on Form 8-K filed on June 28,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6">
              <w:r>
                <w:rPr>
                  <w:rStyle w:val="InternetLink"/>
                  <w:rFonts w:ascii="Times New Roman;sans-serif" w:hAnsi="Times New Roman;sans-serif"/>
                  <w:b w:val="false"/>
                  <w:color w:val="0000FF"/>
                  <w:sz w:val="20"/>
                  <w:u w:val="single"/>
                </w:rPr>
                <w:t>4.21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(incorporated herein by reference to Exhibit 4.21 to the Annual Report on Form 10-K for the year ended December 31, 2023 filed on February 21, 2024).</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8"/>
        <w:gridCol w:w="200"/>
        <w:gridCol w:w="203"/>
        <w:gridCol w:w="109"/>
        <w:gridCol w:w="109"/>
        <w:gridCol w:w="109"/>
        <w:gridCol w:w="2706"/>
        <w:gridCol w:w="2706"/>
        <w:gridCol w:w="3835"/>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ans-serif" w:hAnsi="Times New Roman;sans-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Board Compensation Policy, effective on June 21, 2023 (incorporated herein by reference to Exhibit 10.1 to the Quarterly Report on Form 10-Q for the quarter ended June 30, 2023 filed on August 2, 2023).*</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8">
              <w:r>
                <w:rPr>
                  <w:rStyle w:val="InternetLink"/>
                  <w:rFonts w:ascii="Times New Roman;sans-serif" w:hAnsi="Times New Roman;sans-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Executive Corporate Incentive Plan, effective as of January 1, 2015 (incorporated herein by reference to Exhibit 10.1 to the Current Report on Form 8-K filed on May 11, 2015).*</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9">
              <w:r>
                <w:rPr>
                  <w:rStyle w:val="InternetLink"/>
                  <w:rFonts w:ascii="Times New Roman;sans-serif" w:hAnsi="Times New Roman;sans-serif"/>
                  <w:b w:val="false"/>
                  <w:color w:val="0000FF"/>
                  <w:sz w:val="20"/>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Inc. Equity Incentive Plan (as amended and restated as of April 24, 2018) (incorporated herein by reference to Exhibit 10.1 to the Form S-8 filed on May 25, 2018).*</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0">
              <w:r>
                <w:rPr>
                  <w:rStyle w:val="InternetLink"/>
                  <w:rFonts w:ascii="Times New Roman;sans-serif" w:hAnsi="Times New Roman;sans-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Nasdaq Non-Qualified Stock Option Award Certificate (incorporated herein by reference to Exhibit 10.3 to the Annual Report on Form 10-K for the year ended December 31, 2010 filed on February 24, 2011).*</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1">
              <w:r>
                <w:rPr>
                  <w:rStyle w:val="InternetLink"/>
                  <w:rFonts w:ascii="Times New Roman;sans-serif" w:hAnsi="Times New Roman;sans-serif"/>
                  <w:b w:val="false"/>
                  <w:color w:val="0000FF"/>
                  <w:sz w:val="20"/>
                  <w:u w:val="single"/>
                </w:rPr>
                <w:t>10.5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Nasdaq Restricted Stock Unit Award Certificate (employees) (incorporated herein by reference to Exhibit 10.1 to the Quarterly Report on Form 10-Q for the quarter ended June 30, 2024 filed on August 6, 2024).*</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2">
              <w:r>
                <w:rPr>
                  <w:rStyle w:val="InternetLink"/>
                  <w:rFonts w:ascii="Times New Roman;sans-serif" w:hAnsi="Times New Roman;sans-serif"/>
                  <w:b w:val="false"/>
                  <w:color w:val="0000FF"/>
                  <w:sz w:val="20"/>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Nasdaq Restricted Stock Unit Award Certificate (directors) (incorporated herein by reference to Exhibit 10.2 to the Quarterly Report on Form 10-Q for the quarter ended June 30, 2024 filed on August 6, 2024).*</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3">
              <w:r>
                <w:rPr>
                  <w:rStyle w:val="InternetLink"/>
                  <w:rFonts w:ascii="Times New Roman;sans-serif" w:hAnsi="Times New Roman;sans-serif"/>
                  <w:b w:val="false"/>
                  <w:color w:val="0000FF"/>
                  <w:sz w:val="20"/>
                  <w:u w:val="single"/>
                </w:rPr>
                <w:t>10.7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Nasdaq Three-Year Performance Share Unit Agreement (incorporated herein by reference to Exhibit 10.3 to the Quarterly Report on Form 10-Q for the quarter ended June 30, 2024 filed on August 6, 2024).*</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ans-serif" w:hAnsi="Times New Roman;sans-serif"/>
                  <w:b w:val="false"/>
                  <w:color w:val="000080"/>
                  <w:sz w:val="20"/>
                  <w:u w:val="single"/>
                </w:rPr>
                <w:t>1</w:t>
              </w:r>
            </w:hyperlink>
            <w:hyperlink r:id="rId55">
              <w:r>
                <w:rPr>
                  <w:rStyle w:val="InternetLink"/>
                  <w:rFonts w:ascii="Times New Roman;sans-serif" w:hAnsi="Times New Roman;sans-serif"/>
                  <w:b w:val="false"/>
                  <w:color w:val="000080"/>
                  <w:sz w:val="20"/>
                  <w:u w:val="single"/>
                </w:rPr>
                <w:t>0.7.1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Nasdaq Two-Year Performance Share Unit Agreement (incorporated herein by reference to Exhibit 10.4 to the Quarterly Report on Form 10-Q for the quarter ended June 30, 2024 filed on August 6, 2024).* </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Times New Roman;sans-serif" w:hAnsi="Times New Roman;sans-serif"/>
                  <w:b w:val="false"/>
                  <w:color w:val="0000FF"/>
                  <w:sz w:val="20"/>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Nasdaq Continuing Obligations Agreement (incorporated by reference to Exhibit 10.9 to the Company’s Annual Report on Form 10-K for the year ended December 31, 2021 filed on February 23, 2022).</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Times New Roman;sans-serif" w:hAnsi="Times New Roman;sans-serif"/>
                  <w:b w:val="false"/>
                  <w:color w:val="0000FF"/>
                  <w:sz w:val="20"/>
                  <w:u w:val="single"/>
                </w:rPr>
                <w:t>10.9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Supplemental Executive Retirement Plan, dated as of December 17, 2008 (incorporated herein by reference to Exhibit 10.6 to the Annual Report on Form 10-K for the year ended December 31, 2008 filed on February 27, 2009).*</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Times New Roman;sans-serif" w:hAnsi="Times New Roman;sans-serif"/>
                  <w:b w:val="false"/>
                  <w:color w:val="0000FF"/>
                  <w:sz w:val="20"/>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Amended and Restated Supplemental Executive Retirement Plan, effective as of December 31, 2008 (incorporated herein by reference to Exhibit 10.6.1 to the Annual Report on Form 10-K for the year ended December 31, 2008 filed on February 27, 2009).*</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44"/>
        <w:gridCol w:w="2704"/>
        <w:gridCol w:w="384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9">
              <w:r>
                <w:rPr>
                  <w:rStyle w:val="InternetLink"/>
                  <w:rFonts w:ascii="Times New Roman;sans-serif" w:hAnsi="Times New Roman;sans-serif"/>
                  <w:b w:val="false"/>
                  <w:color w:val="0000FF"/>
                  <w:sz w:val="20"/>
                  <w:u w:val="single"/>
                </w:rPr>
                <w:t>10.11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Supplemental Employer Retirement Contribution Plan, dated as of December 17, 2008 (incorporated herein by reference to Exhibit 10.7 to the Annual Report on Form 10-K for the year ended December 31, 2008 filed on February 27, 2009).*</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0">
              <w:r>
                <w:rPr>
                  <w:rStyle w:val="InternetLink"/>
                  <w:rFonts w:ascii="Times New Roman;sans-serif" w:hAnsi="Times New Roman;sans-serif"/>
                  <w:b w:val="false"/>
                  <w:color w:val="0000FF"/>
                  <w:sz w:val="20"/>
                  <w:u w:val="single"/>
                </w:rPr>
                <w:t>10.12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Inc. Deferred Compensation Plan, effective July 1, 2022 (incorporated herein by reference to Exhibit 10.1 to the Company’s Current Report on Form 8-K filed on June 16, 2022).*</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1">
              <w:r>
                <w:rPr>
                  <w:rStyle w:val="InternetLink"/>
                  <w:rFonts w:ascii="Times New Roman;sans-serif" w:hAnsi="Times New Roman;sans-serif"/>
                  <w:b w:val="false"/>
                  <w:color w:val="0000FF"/>
                  <w:sz w:val="20"/>
                  <w:u w:val="single"/>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 Award Certificate to Adena T. Friedman from Nasdaq, Inc. in connection with grant made on January 3, 2017 (incorporated herein by reference to Exhibit 10.1 to the Quarterly Report on Form 10-Q for the quarter ended September 30, 2017 filed on November 7, 2017).*</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Times New Roman;sans-serif" w:hAnsi="Times New Roman;sans-serif"/>
                  <w:b w:val="false"/>
                  <w:color w:val="0000FF"/>
                  <w:sz w:val="20"/>
                  <w:u w:val="single"/>
                </w:rPr>
                <w:t>10.14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between Nasdaq and Adena Friedman, made and entered into on November 19, 2021 and effective as of January 1, 2022 (incorporated herein by reference to Exhibit 10.14 to the Company’s Annual Report on Form 10-K for the year ended December 31, 2021 filed on February 23, 2022).*</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3">
              <w:r>
                <w:rPr>
                  <w:rStyle w:val="InternetLink"/>
                  <w:rFonts w:ascii="Times New Roman;sans-serif" w:hAnsi="Times New Roman;sans-serif"/>
                  <w:b w:val="false"/>
                  <w:color w:val="0000FF"/>
                  <w:sz w:val="20"/>
                  <w:u w:val="single"/>
                </w:rPr>
                <w:t>10.15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 Award Certificate to Adena T. Friedman from Nasdaq, Inc. in connection with grant made on January 3, 2022 (incorporated herein by reference to Exhibit 10.15 to the Company’s Annual Report on Form 10-K for the year ended December 31, 2021 filed on February 23, 2022).*</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4">
              <w:r>
                <w:rPr>
                  <w:rStyle w:val="InternetLink"/>
                  <w:rFonts w:ascii="Times New Roman;sans-serif" w:hAnsi="Times New Roman;sans-serif"/>
                  <w:b w:val="false"/>
                  <w:color w:val="0000FF"/>
                  <w:sz w:val="20"/>
                  <w:u w:val="single"/>
                </w:rPr>
                <w:t>10.17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by and between Nasdaq, Inc. and Bradley J. Peterson, dated June 22, 2022 (incorporated herein by reference to Exhibit 10.5 to the Quarterly Report on Form 10-Q for the quarter ended June 30, 2022 filed on August 3, 2022).*</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5">
              <w:r>
                <w:rPr>
                  <w:rStyle w:val="InternetLink"/>
                  <w:rFonts w:ascii="Times New Roman;sans-serif" w:hAnsi="Times New Roman;sans-serif"/>
                  <w:b w:val="false"/>
                  <w:color w:val="0000FF"/>
                  <w:sz w:val="20"/>
                  <w:u w:val="single"/>
                </w:rPr>
                <w:t>10.18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Offer Letter by and between Nasdaq, Inc. and Michelle Daly dated January 29, 2021 (incorporated herein by reference to Exhibit 10.1 to the Current Report on Form 8-K filed on May 3, 2021).*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6">
              <w:r>
                <w:rPr>
                  <w:rStyle w:val="InternetLink"/>
                  <w:rFonts w:ascii="Times New Roman;sans-serif" w:hAnsi="Times New Roman;sans-serif"/>
                  <w:b w:val="false"/>
                  <w:color w:val="0000FF"/>
                  <w:sz w:val="20"/>
                  <w:u w:val="single"/>
                </w:rPr>
                <w:t>10.19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Release and Separation Agreement by and between Nasdaq, Inc. and Ann M. Dennison, dated as of August 31, 2023 (incorporated herein by reference to Exhibit 10.1 to the Quarterly Report on Form 10-Q for the quarter ended September 30, 2023 filed on November 3,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7">
              <w:r>
                <w:rPr>
                  <w:rStyle w:val="InternetLink"/>
                  <w:rFonts w:ascii="Times New Roman;sans-serif" w:hAnsi="Times New Roman;sans-serif"/>
                  <w:b w:val="false"/>
                  <w:color w:val="0000FF"/>
                  <w:sz w:val="20"/>
                  <w:u w:val="single"/>
                </w:rPr>
                <w:t>10.20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Offer Letter by and between Nasdaq, Inc. and Sarah Youngwood, dated as of August 31, 2023 (incorporated herein by reference to Exhibit 10.2 to the Quarterly Report on Form 10-Q for the quarter ended September 30, 2023 filed on November 3,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84"/>
        <w:gridCol w:w="2695"/>
        <w:gridCol w:w="3813"/>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8">
              <w:r>
                <w:rPr>
                  <w:rStyle w:val="InternetLink"/>
                  <w:rFonts w:ascii="Times New Roman;sans-serif" w:hAnsi="Times New Roman;sans-serif"/>
                  <w:b w:val="false"/>
                  <w:color w:val="0000FF"/>
                  <w:sz w:val="20"/>
                  <w:u w:val="single"/>
                </w:rPr>
                <w:t>10.21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Change in Control Severance Plan For Non-CEO Presidents, Executive Vice Presidents and Senior Vice Presidents, effective November 26, 2013, as amended December 6, 2022 (incorporated herein by reference to Exhibit 10.19 to the Annual Report on Form 10-K for the year ended December 31, 2022, filed on February 22,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9">
              <w:r>
                <w:rPr>
                  <w:rStyle w:val="InternetLink"/>
                  <w:rFonts w:ascii="Times New Roman;sans-serif" w:hAnsi="Times New Roman;sans-serif"/>
                  <w:b w:val="false"/>
                  <w:color w:val="0000FF"/>
                  <w:sz w:val="20"/>
                  <w:u w:val="single"/>
                </w:rPr>
                <w:t>10.22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Credit Agreement, dated as of December 16, 2022, among Nasdaq, Inc., the various lenders and issuing bank party thereto and Bank of America, N.A., as administrative agent (incorporated herein by reference to Exhibit 10.1 to the Current Report on Form 8-K filed on December 16, 2022).†</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0">
              <w:r>
                <w:rPr>
                  <w:rStyle w:val="InternetLink"/>
                  <w:rFonts w:ascii="Times New Roman;sans-serif" w:hAnsi="Times New Roman;sans-serif"/>
                  <w:b w:val="false"/>
                  <w:color w:val="0000FF"/>
                  <w:sz w:val="20"/>
                  <w:u w:val="single"/>
                </w:rPr>
                <w:t>10.23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Amended and Restated Credit Agreement, dated as of March 29, 2023, among Nasdaq, Inc., the Lenders party hereto, Bank of America, N.A., as administrative agent and BofA Securities, Inc., as Sustainability Coordinator (incorporated herein by reference to Exhibit 10.1 to the Quarterly Report on Form 10-Q for the quarter ended March 30, 2023 filed on May 4,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1">
              <w:r>
                <w:rPr>
                  <w:rStyle w:val="InternetLink"/>
                  <w:rFonts w:ascii="Times New Roman;sans-serif" w:hAnsi="Times New Roman;sans-serif"/>
                  <w:b w:val="false"/>
                  <w:color w:val="0000FF"/>
                  <w:sz w:val="20"/>
                  <w:u w:val="single"/>
                </w:rPr>
                <w:t>10.24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to Amended and Restated Credit Agreement, dated as of June 16, 2023, among Nasdaq, Inc., a Delaware corporation, the lenders party thereto and Bank of America, N.A., as administrative agent (incorporated herein by reference to Exhibit 10.1 to the Current Report on Form 8-K filed on June 20,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2">
              <w:r>
                <w:rPr>
                  <w:rStyle w:val="InternetLink"/>
                  <w:rFonts w:ascii="Times New Roman;sans-serif" w:hAnsi="Times New Roman;sans-serif"/>
                  <w:b w:val="false"/>
                  <w:color w:val="000080"/>
                  <w:sz w:val="20"/>
                  <w:u w:val="single"/>
                </w:rPr>
                <w:t>1</w:t>
              </w:r>
            </w:hyperlink>
            <w:hyperlink r:id="rId73">
              <w:r>
                <w:rPr>
                  <w:rStyle w:val="InternetLink"/>
                  <w:rFonts w:ascii="Times New Roman;sans-serif" w:hAnsi="Times New Roman;sans-serif"/>
                  <w:b w:val="false"/>
                  <w:color w:val="000080"/>
                  <w:sz w:val="20"/>
                  <w:u w:val="single"/>
                </w:rPr>
                <w:t>0</w:t>
              </w:r>
            </w:hyperlink>
            <w:hyperlink r:id="rId74">
              <w:r>
                <w:rPr>
                  <w:rStyle w:val="InternetLink"/>
                  <w:rFonts w:ascii="Times New Roman;sans-serif" w:hAnsi="Times New Roman;sans-serif"/>
                  <w:b w:val="false"/>
                  <w:color w:val="000080"/>
                  <w:sz w:val="20"/>
                  <w:u w:val="single"/>
                </w:rPr>
                <w:t>.25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3 to Amended and Restated Credit Agreement, dated as of August 2, 2024, among Nasdaq, Inc., a Delaware corporation, the lenders party thereto and Bank of America, N.A., as administrative agent (incorporated herein by reference to Exhibit 10.1 to the Quarterly Report on Form 10-Q for the quarter ended September 30, 2024 filed on October 29, 2024).†</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4ex-1026.htm">
              <w:r>
                <w:rPr>
                  <w:rStyle w:val="InternetLink"/>
                  <w:rFonts w:ascii="Times New Roman;sans-serif" w:hAnsi="Times New Roman;sans-serif"/>
                  <w:b w:val="false"/>
                  <w:color w:val="000080"/>
                  <w:sz w:val="20"/>
                  <w:u w:val="single"/>
                </w:rPr>
                <w:t>1</w:t>
              </w:r>
            </w:hyperlink>
            <w:hyperlink w:anchor="ndaq12312024ex-1026.htm">
              <w:r>
                <w:rPr>
                  <w:rStyle w:val="InternetLink"/>
                  <w:rFonts w:ascii="Times New Roman;sans-serif" w:hAnsi="Times New Roman;sans-serif"/>
                  <w:b w:val="false"/>
                  <w:color w:val="000080"/>
                  <w:sz w:val="20"/>
                  <w:u w:val="single"/>
                </w:rPr>
                <w:t>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4 to Amended and Restated Credit Agreement, dated as of December 16, 2024, among Nasdaq, Inc., a Delaware corporation, the lenders party thereto, Bank of America, N.A., as administrative agent and BofA Securities, Inc., as sustainability coordinator.†</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5">
              <w:r>
                <w:rPr>
                  <w:rStyle w:val="InternetLink"/>
                  <w:rFonts w:ascii="Times New Roman;sans-serif" w:hAnsi="Times New Roman;sans-serif"/>
                  <w:b w:val="false"/>
                  <w:color w:val="0000FF"/>
                  <w:sz w:val="20"/>
                  <w:u w:val="single"/>
                </w:rPr>
                <w:t>10.27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Credit Agreement, dated as of June 28, 2023, among Nasdaq, Inc., the lenders and other parties party thereto, and Bank of America, N.A., as Administrative Agent (incorporated herein by reference to Exhibit 10.1 to the Current Report on Form 8-K filed on June 28,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6">
              <w:r>
                <w:rPr>
                  <w:rStyle w:val="InternetLink"/>
                  <w:rFonts w:ascii="Times New Roman;sans-serif" w:hAnsi="Times New Roman;sans-serif"/>
                  <w:b w:val="false"/>
                  <w:color w:val="0000FF"/>
                  <w:sz w:val="20"/>
                  <w:u w:val="single"/>
                </w:rPr>
                <w:t>10.28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Commercial Paper Dealer Agreement between Nasdaq, Inc., as Issuer, and the Dealer party thereto (incorporated herein by reference to Exhibit 10.3 to the Current Report on Form 8-K filed on April 26, 2017).</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3195"/>
        <w:gridCol w:w="2525"/>
        <w:gridCol w:w="3572"/>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7">
              <w:r>
                <w:rPr>
                  <w:rStyle w:val="InternetLink"/>
                  <w:rFonts w:ascii="Times New Roman;sans-serif" w:hAnsi="Times New Roman;sans-serif"/>
                  <w:b w:val="false"/>
                  <w:color w:val="0000FF"/>
                  <w:sz w:val="20"/>
                  <w:u w:val="single"/>
                </w:rPr>
                <w:t>10.29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Verafin Holdings Inc. Amended and Restated Management Incentive Plan, effective as of October 3, 2022 (incorporated herein by reference to Exhibit 10.24 to the Annual Report on Form 10-K for the year ended December 31, 2022, filed on February 22,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8">
              <w:r>
                <w:rPr>
                  <w:rStyle w:val="InternetLink"/>
                  <w:rFonts w:ascii="Times New Roman;sans-serif" w:hAnsi="Times New Roman;sans-serif"/>
                  <w:b w:val="false"/>
                  <w:color w:val="0000FF"/>
                  <w:sz w:val="20"/>
                  <w:u w:val="single"/>
                </w:rPr>
                <w:t>10.30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Verafin Holdings Inc. Amended and Restated Management Incentive Plan Award Agreement, by and between Verafin Solutions ULC and Brendan Brothers, dated as of January 11, 2023 (incorporated by reference herein to Exhibit 10.25 to the Annual Report on Form 10-K for the year ended December 31, 2022, filed on February 22,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8d97d7ae354e66abae402b1874eeb3_76">
              <w:r>
                <w:rPr>
                  <w:rStyle w:val="InternetLink"/>
                  <w:rFonts w:ascii="Times New Roman;sans-serif" w:hAnsi="Times New Roman;sans-serif"/>
                  <w:b w:val="false"/>
                  <w:color w:val="0000FF"/>
                  <w:sz w:val="20"/>
                  <w:u w:val="single"/>
                </w:rPr>
                <w:t>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 regarding computation of per share earnings (incorporated herein by reference from Note 13 to the consolidated financial statements under Part II, Item 8 of this Form 10-K).</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4ex-191.htm">
              <w:r>
                <w:rPr>
                  <w:rStyle w:val="InternetLink"/>
                  <w:rFonts w:ascii="Times New Roman;sans-serif" w:hAnsi="Times New Roman;sans-serif"/>
                  <w:b w:val="false"/>
                  <w:color w:val="0000FF"/>
                  <w:sz w:val="20"/>
                  <w:u w:val="single"/>
                </w:rPr>
                <w:t>19.1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Insider Trading Policy.</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4ex-211.htm">
              <w:r>
                <w:rPr>
                  <w:rStyle w:val="InternetLink"/>
                  <w:rFonts w:ascii="Times New Roman;sans-serif" w:hAnsi="Times New Roman;sans-serif"/>
                  <w:b w:val="false"/>
                  <w:color w:val="0000FF"/>
                  <w:sz w:val="20"/>
                  <w:u w:val="single"/>
                </w:rPr>
                <w:t>21.1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all subsidiaries.</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4ex-231.htm">
              <w:r>
                <w:rPr>
                  <w:rStyle w:val="InternetLink"/>
                  <w:rFonts w:ascii="Times New Roman;sans-serif" w:hAnsi="Times New Roman;sans-serif"/>
                  <w:b w:val="false"/>
                  <w:color w:val="0000FF"/>
                  <w:sz w:val="20"/>
                  <w:u w:val="single"/>
                </w:rPr>
                <w:t>23.1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Ernst &amp; Young LLP.</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4ex-241.htm">
              <w:r>
                <w:rPr>
                  <w:rStyle w:val="InternetLink"/>
                  <w:rFonts w:ascii="Times New Roman;sans-serif" w:hAnsi="Times New Roman;sans-serif"/>
                  <w:b w:val="false"/>
                  <w:color w:val="0000FF"/>
                  <w:sz w:val="20"/>
                  <w:u w:val="single"/>
                </w:rPr>
                <w:t>24.1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Powers of Attorney.</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4ex-311.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 (“Sarbanes-Oxley”).</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4ex-312.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Executive Vice President and Chief Financial Officer pursuant to Section 302 of Sarbanes-Oxley.</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4ex-321.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Pursuant to 18 U.S.C. Section 1350, as adopted pursuant to Section 906 of Sarbanes-Oxley.</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9">
              <w:r>
                <w:rPr>
                  <w:rStyle w:val="InternetLink"/>
                  <w:rFonts w:ascii="Times New Roman;sans-serif" w:hAnsi="Times New Roman;sans-serif"/>
                  <w:b w:val="false"/>
                  <w:color w:val="0000FF"/>
                  <w:sz w:val="20"/>
                  <w:u w:val="single"/>
                </w:rPr>
                <w:t>97.1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Executive Officer Recoupment Policy (incorporated by reference herein to Exhibit 97.1 to the Annual Report on Form 10-K for the year ended December 31, 2023 filed on February 21, 2024).*</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the Nasdaq, Inc. Annual Report on Form 10-K for the year ended December 31, 2024, formatted in iXBRL (Inline eXtensible Business Reporting Language): (i) Consolidated Balance Sheets as of December 31, 2024 and December 31, 2023; (ii) Consolidated Statements of Income for the years ended December 31, 2024, 2023 and 2022 (iii) Consolidated Statements of Comprehensive Income for the years ended December 31, 2024, 2023 and 2022; (iv) Consolidated Statements of Changes in Stockholders’ Equity for the years ended December 31, 2024, 2023 and 2022; (v) Consolidated Statements of Cash Flows for the years ended December 31, 2024, 2023 and 2022; and (vi) notes to consolidated financial statements.</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iXBRL and contained in Exhibit 101.</w:t>
            </w:r>
          </w:p>
        </w:tc>
      </w:tr>
    </w:tbl>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 xml:space="preserve">Schedules have been omitted pursuant to Items 601(b)(2)(ii) or 601(b)(10)(iv) of Regulation S-K. </w:t>
      </w:r>
    </w:p>
    <w:p>
      <w:pPr>
        <w:pStyle w:val="TextBody"/>
        <w:bidi w:val="0"/>
        <w:spacing w:lineRule="auto" w:line="288" w:before="176"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Exhibits:</w:t>
      </w:r>
    </w:p>
    <w:p>
      <w:pPr>
        <w:pStyle w:val="TextBody"/>
        <w:bidi w:val="0"/>
        <w:spacing w:lineRule="auto" w:line="288" w:before="132" w:after="283"/>
        <w:ind w:left="0" w:right="0" w:hanging="360"/>
        <w:jc w:val="left"/>
        <w:rPr>
          <w:color w:val="000000"/>
        </w:rPr>
      </w:pPr>
      <w:r>
        <w:rPr>
          <w:color w:val="000000"/>
        </w:rPr>
        <w:t>    </w:t>
      </w:r>
      <w:r>
        <w:rPr>
          <w:rFonts w:ascii="Times New Roman;sans-serif" w:hAnsi="Times New Roman;sans-serif"/>
          <w:b w:val="false"/>
          <w:color w:val="000000"/>
          <w:sz w:val="20"/>
        </w:rPr>
        <w:t>See Item 15(a)(3) above.</w:t>
      </w:r>
    </w:p>
    <w:p>
      <w:pPr>
        <w:pStyle w:val="TextBody"/>
        <w:bidi w:val="0"/>
        <w:spacing w:lineRule="auto" w:line="288" w:before="132"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Financial Statement Schedules:</w:t>
      </w:r>
    </w:p>
    <w:p>
      <w:pPr>
        <w:pStyle w:val="TextBody"/>
        <w:bidi w:val="0"/>
        <w:spacing w:lineRule="auto" w:line="288" w:before="132" w:after="283"/>
        <w:ind w:left="0" w:right="0" w:hanging="360"/>
        <w:jc w:val="both"/>
        <w:rPr>
          <w:color w:val="000000"/>
        </w:rPr>
      </w:pPr>
      <w:r>
        <w:rPr>
          <w:color w:val="000000"/>
        </w:rPr>
        <w:t>    </w:t>
      </w:r>
      <w:r>
        <w:rPr>
          <w:rFonts w:ascii="Times New Roman;sans-serif" w:hAnsi="Times New Roman;sans-serif"/>
          <w:b w:val="false"/>
          <w:color w:val="000000"/>
          <w:sz w:val="20"/>
        </w:rPr>
        <w:t>All schedules are omitted because they are not applicable or the required information is included in the consolidated financial statements 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16. Form 10-K Summary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February 21, 2025.</w:t>
      </w:r>
    </w:p>
    <w:tbl>
      <w:tblPr>
        <w:tblW w:w="3238" w:type="dxa"/>
        <w:jc w:val="left"/>
        <w:tblInd w:w="0" w:type="dxa"/>
        <w:tblLayout w:type="fixed"/>
        <w:tblCellMar>
          <w:top w:w="28" w:type="dxa"/>
          <w:left w:w="28" w:type="dxa"/>
          <w:bottom w:w="28" w:type="dxa"/>
          <w:right w:w="28" w:type="dxa"/>
        </w:tblCellMar>
      </w:tblPr>
      <w:tblGrid>
        <w:gridCol w:w="401"/>
        <w:gridCol w:w="353"/>
        <w:gridCol w:w="355"/>
        <w:gridCol w:w="330"/>
        <w:gridCol w:w="330"/>
        <w:gridCol w:w="330"/>
        <w:gridCol w:w="330"/>
        <w:gridCol w:w="330"/>
        <w:gridCol w:w="479"/>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Inc.</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1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Adena T. Friedman</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1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Adena T. Friedman</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21, 2025</w:t>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as of February 21, 2025.</w:t>
      </w:r>
    </w:p>
    <w:tbl>
      <w:tblPr>
        <w:tblW w:w="6224" w:type="dxa"/>
        <w:jc w:val="left"/>
        <w:tblInd w:w="0" w:type="dxa"/>
        <w:tblLayout w:type="fixed"/>
        <w:tblCellMar>
          <w:top w:w="28" w:type="dxa"/>
          <w:left w:w="28" w:type="dxa"/>
          <w:bottom w:w="28" w:type="dxa"/>
          <w:right w:w="28" w:type="dxa"/>
        </w:tblCellMar>
      </w:tblPr>
      <w:tblGrid>
        <w:gridCol w:w="242"/>
        <w:gridCol w:w="215"/>
        <w:gridCol w:w="218"/>
        <w:gridCol w:w="1622"/>
        <w:gridCol w:w="1622"/>
        <w:gridCol w:w="2305"/>
      </w:tblGrid>
      <w:tr>
        <w:trPr/>
        <w:tc>
          <w:tcPr>
            <w:tcW w:w="2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Adena T. Friedman</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Adena T. Friedman</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Chair of the Board</w:t>
            </w:r>
          </w:p>
        </w:tc>
      </w:tr>
      <w:tr>
        <w:trPr/>
        <w:tc>
          <w:tcPr>
            <w:tcW w:w="62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Sarah Youngwood</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Sarah Youngwood</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w:t>
              <w:br/>
              <w:t>Chief Financial Officer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Michelle Daly</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Michelle Daly</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Controller and Principal Accounting Officer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Melissa M. Arnoldi</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Charlene T. Begley</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Essa Kazim</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Thomas A. Kloet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Kathryn A. Koch</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Holden Spaht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743" w:type="dxa"/>
        <w:jc w:val="left"/>
        <w:tblInd w:w="0" w:type="dxa"/>
        <w:tblLayout w:type="fixed"/>
        <w:tblCellMar>
          <w:top w:w="28" w:type="dxa"/>
          <w:left w:w="28" w:type="dxa"/>
          <w:bottom w:w="28" w:type="dxa"/>
          <w:right w:w="28" w:type="dxa"/>
        </w:tblCellMar>
      </w:tblPr>
      <w:tblGrid>
        <w:gridCol w:w="250"/>
        <w:gridCol w:w="222"/>
        <w:gridCol w:w="225"/>
        <w:gridCol w:w="598"/>
        <w:gridCol w:w="598"/>
        <w:gridCol w:w="850"/>
      </w:tblGrid>
      <w:tr>
        <w:trPr/>
        <w:tc>
          <w:tcPr>
            <w:tcW w:w="25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Michael R. Splinter</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Johan Torgeby</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Toni Townes-Whitley</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Jeffery W. Yabuki</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Alfred W. Zollar</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Pursuant to Power of Attorney</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A. Zecca</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John A. Zecca</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Attorney-in-Fact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28" w:after="283"/>
        <w:jc w:val="center"/>
        <w:rPr>
          <w:rFonts w:ascii="Times New Roman;sans-serif" w:hAnsi="Times New Roman;sans-serif"/>
          <w:b/>
          <w:color w:val="000000"/>
          <w:sz w:val="20"/>
        </w:rPr>
      </w:pPr>
      <w:r>
        <w:rPr>
          <w:rFonts w:ascii="Times New Roman;sans-serif" w:hAnsi="Times New Roman;sans-serif"/>
          <w:b/>
          <w:color w:val="000000"/>
          <w:sz w:val="20"/>
        </w:rPr>
        <w:t>Nasdaq, Inc.</w:t>
      </w:r>
    </w:p>
    <w:p>
      <w:pPr>
        <w:pStyle w:val="TextBody"/>
        <w:bidi w:val="0"/>
        <w:spacing w:lineRule="auto" w:line="288" w:before="132"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264"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of Nasdaq, Inc. and its subsidiaries are presented herein on the page indicated:</w:t>
      </w:r>
    </w:p>
    <w:tbl>
      <w:tblPr>
        <w:tblW w:w="6584" w:type="dxa"/>
        <w:jc w:val="left"/>
        <w:tblInd w:w="0" w:type="dxa"/>
        <w:tblLayout w:type="fixed"/>
        <w:tblCellMar>
          <w:top w:w="28" w:type="dxa"/>
          <w:left w:w="28" w:type="dxa"/>
          <w:bottom w:w="28" w:type="dxa"/>
          <w:right w:w="28" w:type="dxa"/>
        </w:tblCellMar>
      </w:tblPr>
      <w:tblGrid>
        <w:gridCol w:w="2231"/>
        <w:gridCol w:w="1964"/>
        <w:gridCol w:w="1969"/>
        <w:gridCol w:w="123"/>
        <w:gridCol w:w="123"/>
        <w:gridCol w:w="174"/>
      </w:tblGrid>
      <w:tr>
        <w:trPr/>
        <w:tc>
          <w:tcPr>
            <w:tcW w:w="2231"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58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454">
              <w:r>
                <w:rPr>
                  <w:rStyle w:val="InternetLink"/>
                  <w:rFonts w:ascii="Times New Roman;sans-serif" w:hAnsi="Times New Roman;sans-serif"/>
                  <w:b w:val="false"/>
                  <w:strike w:val="false"/>
                  <w:dstrike w:val="false"/>
                  <w:color w:val="0000FF"/>
                  <w:sz w:val="20"/>
                  <w:u w:val="none"/>
                  <w:effect w:val="none"/>
                </w:rPr>
                <w:t>Report of Independent Registered Public Accounting Firm </w:t>
              </w:r>
            </w:hyperlink>
            <w:r>
              <w:rPr>
                <w:rFonts w:ascii="Times New Roman;sans-serif" w:hAnsi="Times New Roman;sans-serif"/>
                <w:b w:val="false"/>
                <w:color w:val="000000"/>
                <w:sz w:val="20"/>
              </w:rPr>
              <w:t>(PCAOB ID 42)</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rPr>
              <w:t>F-</w:t>
            </w:r>
            <w:hyperlink w:anchor="i8e8d97d7ae354e66abae402b1874eeb3_454">
              <w:r>
                <w:rPr>
                  <w:rStyle w:val="InternetLink"/>
                  <w:rFonts w:ascii="Times New Roman;sans-serif" w:hAnsi="Times New Roman;sans-serif"/>
                  <w:b w:val="false"/>
                  <w:strike w:val="false"/>
                  <w:dstrike w:val="false"/>
                  <w:color w:val="3051F2"/>
                  <w:sz w:val="20"/>
                  <w:u w:val="none"/>
                  <w:effect w:val="none"/>
                </w:rPr>
                <w:t>2</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2">
              <w:r>
                <w:rPr>
                  <w:rStyle w:val="InternetLink"/>
                  <w:rFonts w:ascii="Times New Roman;sans-serif" w:hAnsi="Times New Roman;sans-serif"/>
                  <w:b w:val="false"/>
                  <w:strike w:val="false"/>
                  <w:dstrike w:val="false"/>
                  <w:color w:val="0000FF"/>
                  <w:sz w:val="20"/>
                  <w:u w:val="none"/>
                  <w:effect w:val="none"/>
                </w:rPr>
                <w:t>Consolidated Balance Sheets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8d97d7ae354e66abae402b1874eeb3_22">
              <w:r>
                <w:rPr>
                  <w:rStyle w:val="InternetLink"/>
                  <w:rFonts w:ascii="Times New Roman;sans-serif" w:hAnsi="Times New Roman;sans-serif"/>
                  <w:b w:val="false"/>
                  <w:strike w:val="false"/>
                  <w:dstrike w:val="false"/>
                  <w:color w:val="3051F2"/>
                  <w:sz w:val="20"/>
                  <w:u w:val="none"/>
                  <w:effect w:val="none"/>
                </w:rPr>
                <w:t>4</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5">
              <w:r>
                <w:rPr>
                  <w:rStyle w:val="InternetLink"/>
                  <w:rFonts w:ascii="Times New Roman;sans-serif" w:hAnsi="Times New Roman;sans-serif"/>
                  <w:b w:val="false"/>
                  <w:strike w:val="false"/>
                  <w:dstrike w:val="false"/>
                  <w:color w:val="0000FF"/>
                  <w:sz w:val="20"/>
                  <w:u w:val="none"/>
                  <w:effect w:val="none"/>
                </w:rPr>
                <w:t>Consolidated Statements of Income</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8d97d7ae354e66abae402b1874eeb3_25">
              <w:r>
                <w:rPr>
                  <w:rStyle w:val="InternetLink"/>
                  <w:rFonts w:ascii="Times New Roman;sans-serif" w:hAnsi="Times New Roman;sans-serif"/>
                  <w:b w:val="false"/>
                  <w:strike w:val="false"/>
                  <w:dstrike w:val="false"/>
                  <w:color w:val="3051F2"/>
                  <w:sz w:val="20"/>
                  <w:u w:val="none"/>
                  <w:effect w:val="none"/>
                </w:rPr>
                <w:t>5</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28">
              <w:r>
                <w:rPr>
                  <w:rStyle w:val="InternetLink"/>
                  <w:rFonts w:ascii="Times New Roman;sans-serif" w:hAnsi="Times New Roman;sans-serif"/>
                  <w:b w:val="false"/>
                  <w:strike w:val="false"/>
                  <w:dstrike w:val="false"/>
                  <w:color w:val="0000FF"/>
                  <w:sz w:val="20"/>
                  <w:u w:val="none"/>
                  <w:effect w:val="none"/>
                </w:rPr>
                <w:t>Consolidated Statements of Comprehensive Income</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8d97d7ae354e66abae402b1874eeb3_28">
              <w:r>
                <w:rPr>
                  <w:rStyle w:val="InternetLink"/>
                  <w:rFonts w:ascii="Times New Roman;sans-serif" w:hAnsi="Times New Roman;sans-serif"/>
                  <w:b w:val="false"/>
                  <w:strike w:val="false"/>
                  <w:dstrike w:val="false"/>
                  <w:color w:val="3051F2"/>
                  <w:sz w:val="20"/>
                  <w:u w:val="none"/>
                  <w:effect w:val="none"/>
                </w:rPr>
                <w:t>6</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31">
              <w:r>
                <w:rPr>
                  <w:rStyle w:val="InternetLink"/>
                  <w:rFonts w:ascii="Times New Roman;sans-serif" w:hAnsi="Times New Roman;sans-serif"/>
                  <w:b w:val="false"/>
                  <w:strike w:val="false"/>
                  <w:dstrike w:val="false"/>
                  <w:color w:val="0000FF"/>
                  <w:sz w:val="20"/>
                  <w:u w:val="none"/>
                  <w:effect w:val="none"/>
                </w:rPr>
                <w:t>Consolidated Statements of Changes in Stockholders</w:t>
              </w:r>
            </w:hyperlink>
            <w:r>
              <w:rPr>
                <w:color w:val="0E32E1"/>
              </w:rPr>
              <w:t>’</w:t>
            </w:r>
            <w:hyperlink w:anchor="i8e8d97d7ae354e66abae402b1874eeb3_31">
              <w:r>
                <w:rPr>
                  <w:rStyle w:val="InternetLink"/>
                  <w:strike w:val="false"/>
                  <w:dstrike w:val="false"/>
                  <w:color w:val="0000FF"/>
                  <w:u w:val="none"/>
                  <w:effect w:val="none"/>
                </w:rPr>
                <w:t xml:space="preserve"> </w:t>
              </w:r>
            </w:hyperlink>
            <w:hyperlink w:anchor="i8e8d97d7ae354e66abae402b1874eeb3_31">
              <w:r>
                <w:rPr>
                  <w:rStyle w:val="InternetLink"/>
                  <w:rFonts w:ascii="Times New Roman;sans-serif" w:hAnsi="Times New Roman;sans-serif"/>
                  <w:b w:val="false"/>
                  <w:strike w:val="false"/>
                  <w:dstrike w:val="false"/>
                  <w:color w:val="0000FF"/>
                  <w:sz w:val="20"/>
                  <w:u w:val="none"/>
                  <w:effect w:val="none"/>
                </w:rPr>
                <w:t>Equity</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8d97d7ae354e66abae402b1874eeb3_31">
              <w:r>
                <w:rPr>
                  <w:rStyle w:val="InternetLink"/>
                  <w:rFonts w:ascii="Times New Roman;sans-serif" w:hAnsi="Times New Roman;sans-serif"/>
                  <w:b w:val="false"/>
                  <w:strike w:val="false"/>
                  <w:dstrike w:val="false"/>
                  <w:color w:val="3051F2"/>
                  <w:sz w:val="20"/>
                  <w:u w:val="none"/>
                  <w:effect w:val="none"/>
                </w:rPr>
                <w:t>7</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34">
              <w:r>
                <w:rPr>
                  <w:rStyle w:val="InternetLink"/>
                  <w:rFonts w:ascii="Times New Roman;sans-serif" w:hAnsi="Times New Roman;sans-serif"/>
                  <w:b w:val="false"/>
                  <w:strike w:val="false"/>
                  <w:dstrike w:val="false"/>
                  <w:color w:val="0000FF"/>
                  <w:sz w:val="20"/>
                  <w:u w:val="none"/>
                  <w:effect w:val="none"/>
                </w:rPr>
                <w:t>Consolidated Statements of Cash Flows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8d97d7ae354e66abae402b1874eeb3_34">
              <w:r>
                <w:rPr>
                  <w:rStyle w:val="InternetLink"/>
                  <w:rFonts w:ascii="Times New Roman;sans-serif" w:hAnsi="Times New Roman;sans-serif"/>
                  <w:b w:val="false"/>
                  <w:strike w:val="false"/>
                  <w:dstrike w:val="false"/>
                  <w:color w:val="3051F2"/>
                  <w:sz w:val="20"/>
                  <w:u w:val="none"/>
                  <w:effect w:val="none"/>
                </w:rPr>
                <w:t>8</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8d97d7ae354e66abae402b1874eeb3_37">
              <w:r>
                <w:rPr>
                  <w:rStyle w:val="InternetLink"/>
                  <w:rFonts w:ascii="Times New Roman;sans-serif" w:hAnsi="Times New Roman;sans-serif"/>
                  <w:b w:val="false"/>
                  <w:strike w:val="false"/>
                  <w:dstrike w:val="false"/>
                  <w:color w:val="0000FF"/>
                  <w:sz w:val="20"/>
                  <w:u w:val="none"/>
                  <w:effect w:val="none"/>
                </w:rPr>
                <w:t>Notes to Consolidated Financial 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8d97d7ae354e66abae402b1874eeb3_37">
              <w:r>
                <w:rPr>
                  <w:rStyle w:val="InternetLink"/>
                  <w:rFonts w:ascii="Times New Roman;sans-serif" w:hAnsi="Times New Roman;sans-serif"/>
                  <w:b w:val="false"/>
                  <w:strike w:val="false"/>
                  <w:dstrike w:val="false"/>
                  <w:color w:val="3051F2"/>
                  <w:sz w:val="20"/>
                  <w:u w:val="none"/>
                  <w:effect w:val="none"/>
                </w:rPr>
                <w:t>9</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Nasdaq, Inc.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Nasdaq, Inc. (the Company) as of December 31, 2024 and 2023, the related consolidated statements of income, comprehensive income,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jc w:val="both"/>
        <w:rPr/>
      </w:pPr>
      <w:r>
        <w:rPr/>
      </w:r>
    </w:p>
    <w:p>
      <w:pPr>
        <w:pStyle w:val="TextBody"/>
        <w:bidi w:val="0"/>
        <w:spacing w:before="0" w:after="0"/>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tbl>
      <w:tblPr>
        <w:tblW w:w="10205" w:type="dxa"/>
        <w:jc w:val="left"/>
        <w:tblInd w:w="0" w:type="dxa"/>
        <w:tblLayout w:type="fixed"/>
        <w:tblCellMar>
          <w:top w:w="28" w:type="dxa"/>
          <w:left w:w="28" w:type="dxa"/>
          <w:bottom w:w="28" w:type="dxa"/>
          <w:right w:w="28" w:type="dxa"/>
        </w:tblCellMar>
      </w:tblPr>
      <w:tblGrid>
        <w:gridCol w:w="430"/>
        <w:gridCol w:w="379"/>
        <w:gridCol w:w="381"/>
        <w:gridCol w:w="2714"/>
        <w:gridCol w:w="2606"/>
        <w:gridCol w:w="3695"/>
      </w:tblGrid>
      <w:tr>
        <w:trPr/>
        <w:tc>
          <w:tcPr>
            <w:tcW w:w="43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Calypso and AxiomSL on-premises license revenue recognition</w:t>
            </w:r>
          </w:p>
        </w:tc>
      </w:tr>
      <w:tr>
        <w:trPr/>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9015"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2 to the consolidated financial statements, the Company recognizes revenue within its Regulatory Technology and Capital Markets Technology products for AxiomSL and Calypso on-premises license agreements, respectively. The AxiomSL on-premises software offering includes both license and post-contract customer support, which includes frequent and ongoing mandatory regulatory updates. Both the AxiomSL on-premises license and the post-contract customer support, inclusive of the frequent and ongoing mandatory regulatory updates are accounted for as a single performance obligation and recognized ratably over the contract term. For the on-premises Calypso capital markets product, distinct performance obligations are recognized for the license and post-contract customer support and the performance obligation of the on-premises license revenue is recognized upfront at the point in time when the software is made available to the user.</w:t>
            </w:r>
          </w:p>
          <w:p>
            <w:pPr>
              <w:pStyle w:val="TableContents"/>
              <w:bidi w:val="0"/>
              <w:spacing w:before="0" w:after="0"/>
              <w:jc w:val="both"/>
              <w:rPr/>
            </w:pPr>
            <w:r>
              <w:rPr/>
            </w:r>
          </w:p>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Auditing the Company’s initial identification of performance obligations along with the timing over which those performance obligations are satisfied for the acquired AxiomSL and Calypso on-premise license agreements required complex judgment. </w:t>
            </w:r>
          </w:p>
          <w:p>
            <w:pPr>
              <w:pStyle w:val="TableContents"/>
              <w:bidi w:val="0"/>
              <w:spacing w:before="0" w:after="0"/>
              <w:jc w:val="both"/>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79"/>
        <w:gridCol w:w="421"/>
        <w:gridCol w:w="422"/>
        <w:gridCol w:w="2600"/>
        <w:gridCol w:w="2600"/>
        <w:gridCol w:w="3683"/>
      </w:tblGrid>
      <w:tr>
        <w:trPr/>
        <w:tc>
          <w:tcPr>
            <w:tcW w:w="4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8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performed a walkthrough of the process and evaluated the design and tested the operating effectiveness of controls over the Company's processes for identifying performance obligations and determining the timing over which the performance obligations are satisfied with respect to these products.</w:t>
            </w:r>
          </w:p>
          <w:p>
            <w:pPr>
              <w:pStyle w:val="TableContents"/>
              <w:bidi w:val="0"/>
              <w:spacing w:before="0" w:after="0"/>
              <w:jc w:val="both"/>
              <w:rPr/>
            </w:pPr>
            <w:r>
              <w:rPr/>
            </w:r>
          </w:p>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Company’s judgments and conclusions related to the identification of performance obligations and timing of satisfaction of those performance obligations, our audit procedures included, among others, obtaining an understanding of the Company’s AxiomSL and Calypso service offerings and evaluating management’s conclusions regarding which were distinct. We involved subject matter resources to assist in testing management’s identification of performance obligations and determining timing over which they are satisfied. We read a sample of executed contracts to assess management’s evaluation of significant terms, including the determination of distinct performance obligations.</w:t>
            </w:r>
          </w:p>
          <w:p>
            <w:pPr>
              <w:pStyle w:val="TableContents"/>
              <w:bidi w:val="0"/>
              <w:spacing w:before="0" w:after="0"/>
              <w:jc w:val="both"/>
              <w:rPr/>
            </w:pPr>
            <w:r>
              <w:rPr/>
            </w:r>
          </w:p>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pPr>
      <w:r>
        <w:rPr>
          <w:rFonts w:ascii="Times New Roman;sans-serif" w:hAnsi="Times New Roman;sans-serif"/>
          <w:b w:val="false"/>
          <w:i/>
          <w:color w:val="000000"/>
          <w:sz w:val="20"/>
        </w:rPr>
        <w:t>/s/ Ernst &amp; Young LLP</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1986.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Nasdaq,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share and par value amounts)</w:t>
      </w:r>
    </w:p>
    <w:tbl>
      <w:tblPr>
        <w:tblW w:w="10205" w:type="dxa"/>
        <w:jc w:val="center"/>
        <w:tblInd w:w="0" w:type="dxa"/>
        <w:tblLayout w:type="fixed"/>
        <w:tblCellMar>
          <w:top w:w="28" w:type="dxa"/>
          <w:left w:w="28" w:type="dxa"/>
          <w:bottom w:w="28" w:type="dxa"/>
          <w:right w:w="28" w:type="dxa"/>
        </w:tblCellMar>
      </w:tblPr>
      <w:tblGrid>
        <w:gridCol w:w="2944"/>
        <w:gridCol w:w="2374"/>
        <w:gridCol w:w="2318"/>
        <w:gridCol w:w="222"/>
        <w:gridCol w:w="760"/>
        <w:gridCol w:w="114"/>
        <w:gridCol w:w="109"/>
        <w:gridCol w:w="109"/>
        <w:gridCol w:w="109"/>
        <w:gridCol w:w="222"/>
        <w:gridCol w:w="759"/>
        <w:gridCol w:w="165"/>
      </w:tblGrid>
      <w:tr>
        <w:trPr/>
        <w:tc>
          <w:tcPr>
            <w:tcW w:w="2944"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763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Default funds and margin deposits (including restricted cash and cash equivalents of $4,383 and $6,645, respectively)</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investments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 fees payable to SEC</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personnel costs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 funds and margin deposits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stockholders’ equity:</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900,000,000 shares authorized, shares issued: 598,920,378 at December 31, 2024 and 598,014,520 at December 31, 2023; shares outstanding: 575,062,217 at December 31, 2024 and 575,159,336 at December 31, 2023</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in treasury, at cost: 23,858,161 shares at December 31, 2024 and 22,855,184 shares at December 31, 2023 </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Nasdaq stockholders’ equity</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ans-serif" w:hAnsi="Times New Roman;sans-serif"/>
          <w:b/>
          <w:color w:val="000000"/>
          <w:sz w:val="20"/>
        </w:rPr>
        <w:t>Nasdaq,</w:t>
      </w:r>
      <w:r>
        <w:rPr>
          <w:color w:val="000000"/>
        </w:rPr>
        <w:t xml:space="preserve"> </w:t>
      </w:r>
      <w:r>
        <w:rPr>
          <w:rFonts w:ascii="Times New Roman;sans-serif" w:hAnsi="Times New Roman;sans-serif"/>
          <w:b/>
          <w:color w:val="000000"/>
          <w:sz w:val="20"/>
        </w:rPr>
        <w:t>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tbl>
      <w:tblPr>
        <w:tblW w:w="7993" w:type="dxa"/>
        <w:jc w:val="left"/>
        <w:tblInd w:w="0" w:type="dxa"/>
        <w:tblLayout w:type="fixed"/>
        <w:tblCellMar>
          <w:top w:w="28" w:type="dxa"/>
          <w:left w:w="28" w:type="dxa"/>
          <w:bottom w:w="28" w:type="dxa"/>
          <w:right w:w="28" w:type="dxa"/>
        </w:tblCellMar>
      </w:tblPr>
      <w:tblGrid>
        <w:gridCol w:w="1467"/>
        <w:gridCol w:w="1287"/>
        <w:gridCol w:w="129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Access Platforms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Transaction-based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rebates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Brokerage, clearance and exchange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less transaction-based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and contract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 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strategic initiatives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unconsolidated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Nasdaq</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 share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Nasdaq,</w:t>
      </w:r>
      <w:r>
        <w:rPr>
          <w:color w:val="000000"/>
        </w:rPr>
        <w:t xml:space="preserve"> </w:t>
      </w:r>
      <w:r>
        <w:rPr>
          <w:rFonts w:ascii="Times New Roman;sans-serif" w:hAnsi="Times New Roman;sans-serif"/>
          <w:b/>
          <w:color w:val="000000"/>
          <w:sz w:val="20"/>
        </w:rPr>
        <w:t>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893" w:type="dxa"/>
        <w:jc w:val="left"/>
        <w:tblInd w:w="0" w:type="dxa"/>
        <w:tblLayout w:type="fixed"/>
        <w:tblCellMar>
          <w:top w:w="28" w:type="dxa"/>
          <w:left w:w="28" w:type="dxa"/>
          <w:bottom w:w="28" w:type="dxa"/>
          <w:right w:w="28" w:type="dxa"/>
        </w:tblCellMar>
      </w:tblPr>
      <w:tblGrid>
        <w:gridCol w:w="1788"/>
        <w:gridCol w:w="1572"/>
        <w:gridCol w:w="1590"/>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tax benefit (expense)</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benefit plan adjustment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plan,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Nasdaq</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color w:val="000000"/>
          <w:sz w:val="18"/>
        </w:rPr>
      </w:pPr>
      <w:r>
        <w:rPr>
          <w:rFonts w:ascii="Times New Roman;sans-serif" w:hAnsi="Times New Roman;sans-serif"/>
          <w:b/>
          <w:color w:val="000000"/>
          <w:sz w:val="18"/>
        </w:rPr>
        <w:t>____________</w:t>
      </w:r>
    </w:p>
    <w:p>
      <w:pPr>
        <w:pStyle w:val="TextBody"/>
        <w:bidi w:val="0"/>
        <w:spacing w:lineRule="auto" w:line="288" w:before="0" w:after="0"/>
        <w:ind w:left="0" w:right="0" w:hanging="18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Primarily relates to the tax effect of unrealized gains and losses on Euro denominated notes.</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Nasdaq, Inc. </w:t>
      </w:r>
    </w:p>
    <w:p>
      <w:pPr>
        <w:pStyle w:val="TextBody"/>
        <w:bidi w:val="0"/>
        <w:spacing w:lineRule="auto" w:line="288" w:before="0" w:after="0"/>
        <w:jc w:val="center"/>
        <w:rPr/>
      </w:pPr>
      <w:r>
        <w:rPr>
          <w:rFonts w:ascii="Times New Roman;sans-serif" w:hAnsi="Times New Roman;sans-serif"/>
          <w:b/>
          <w:color w:val="000000"/>
          <w:sz w:val="20"/>
        </w:rPr>
        <w:t>Consolidated Statements of Changes in 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962"/>
        <w:gridCol w:w="690"/>
        <w:gridCol w:w="693"/>
        <w:gridCol w:w="109"/>
        <w:gridCol w:w="109"/>
        <w:gridCol w:w="109"/>
        <w:gridCol w:w="109"/>
        <w:gridCol w:w="135"/>
        <w:gridCol w:w="135"/>
        <w:gridCol w:w="136"/>
        <w:gridCol w:w="109"/>
        <w:gridCol w:w="233"/>
        <w:gridCol w:w="233"/>
        <w:gridCol w:w="211"/>
        <w:gridCol w:w="143"/>
        <w:gridCol w:w="144"/>
        <w:gridCol w:w="109"/>
        <w:gridCol w:w="211"/>
        <w:gridCol w:w="721"/>
        <w:gridCol w:w="109"/>
        <w:gridCol w:w="109"/>
        <w:gridCol w:w="109"/>
        <w:gridCol w:w="109"/>
        <w:gridCol w:w="233"/>
        <w:gridCol w:w="233"/>
        <w:gridCol w:w="211"/>
        <w:gridCol w:w="143"/>
        <w:gridCol w:w="144"/>
        <w:gridCol w:w="109"/>
        <w:gridCol w:w="211"/>
        <w:gridCol w:w="721"/>
        <w:gridCol w:w="109"/>
        <w:gridCol w:w="109"/>
        <w:gridCol w:w="109"/>
        <w:gridCol w:w="109"/>
        <w:gridCol w:w="233"/>
        <w:gridCol w:w="233"/>
        <w:gridCol w:w="211"/>
        <w:gridCol w:w="128"/>
        <w:gridCol w:w="128"/>
        <w:gridCol w:w="109"/>
        <w:gridCol w:w="211"/>
        <w:gridCol w:w="616"/>
        <w:gridCol w:w="158"/>
      </w:tblGrid>
      <w:tr>
        <w:trPr/>
        <w:tc>
          <w:tcPr>
            <w:tcW w:w="96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791" w:type="dxa"/>
            <w:gridSpan w:val="18"/>
            <w:tcBorders/>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2354" w:type="dxa"/>
            <w:gridSpan w:val="12"/>
            <w:tcBorders/>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Shares</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Shares</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Shares</w:t>
            </w:r>
          </w:p>
        </w:tc>
        <w:tc>
          <w:tcPr>
            <w:tcW w:w="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t>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stock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ASR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65"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stock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issuances of common stock,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stock in treasury,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employee stock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Nasdaq</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and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Nasdaq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Net activity related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before="0" w:after="0"/>
        <w:ind w:left="0" w:right="0" w:hanging="36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Nasdaq,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522"/>
        <w:gridCol w:w="2192"/>
        <w:gridCol w:w="2208"/>
        <w:gridCol w:w="196"/>
        <w:gridCol w:w="556"/>
        <w:gridCol w:w="109"/>
        <w:gridCol w:w="109"/>
        <w:gridCol w:w="109"/>
        <w:gridCol w:w="109"/>
        <w:gridCol w:w="196"/>
        <w:gridCol w:w="556"/>
        <w:gridCol w:w="109"/>
        <w:gridCol w:w="109"/>
        <w:gridCol w:w="109"/>
        <w:gridCol w:w="109"/>
        <w:gridCol w:w="196"/>
        <w:gridCol w:w="556"/>
        <w:gridCol w:w="155"/>
      </w:tblGrid>
      <w:tr>
        <w:trPr/>
        <w:tc>
          <w:tcPr>
            <w:tcW w:w="252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6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Extinguishment of debt and bridge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restructuring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unconsolidated investees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 impairments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Adenza purchase accounting adjustment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reconciling items included in net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Section 31 fees payable to SEC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personnel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and redemptions of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net of cash and cash equivalents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Investments related to default funds and margin deposits, net</w:t>
            </w:r>
            <w:r>
              <w:rPr>
                <w:rFonts w:ascii="Times New Roman;sans-serif" w:hAnsi="Times New Roman;sans-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(repayments of) commercial paper,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Repayments of debt and credit commitment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issuances of debt, net of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ASR agreement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related to employee shares withheld for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Default funds and margin 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 and restricted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 and restricted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8"/>
              </w:rPr>
              <w:t>Cash and cash equivalents, restricted cash and cash equivalents</w:t>
            </w:r>
            <w:r>
              <w:rPr>
                <w:color w:val="EE2724"/>
              </w:rPr>
              <w:t xml:space="preserve"> </w:t>
            </w:r>
            <w:r>
              <w:rPr>
                <w:rFonts w:ascii="Times New Roman;sans-serif" w:hAnsi="Times New Roman;sans-serif"/>
                <w:b w:val="false"/>
                <w:color w:val="000000"/>
                <w:sz w:val="18"/>
              </w:rPr>
              <w:t>at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restricted 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and Cash Equivalents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 (default funds and margin 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Cash Flow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 of refund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12"/>
        </w:rPr>
      </w:pPr>
      <w:r>
        <w:rPr>
          <w:rFonts w:ascii="Times New Roman;sans-serif" w:hAnsi="Times New Roman;sans-serif"/>
          <w:b/>
          <w:color w:val="000000"/>
          <w:sz w:val="12"/>
        </w:rPr>
        <w:t>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 xml:space="preserve">Includes purchases and proceeds from sales and redemptions related to the default funds and margin deposits of our clearing operations. For further information, see "Default Fund Contributions and Margin Deposits," within Note 15, "Clearing Operations."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AND NATURE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is a global technology company serving corporate clients, investment managers, banks, brokers, and exchange operators as they navigate and interact with the global capital markets and the broader financial system. We aspire to deliver world-leading platforms that improve the liquidity, transparency, and integrity of the global economy. Our diverse offering of data, analytics, software, exchange capabilities, and client-centric services enables clients to optimize and execute their business vision with confidence.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organizational structure aligns our businesses with the foundational shifts that are driving the evolution of the global financial system. We manage, operate and provide our products and services in three business segments: Capital Access Platforms, Financial Technology and Market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our businesses, see “Products and Services,” of “Part I, Item 1. Business.”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Capital Access Platforms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Access Platforms segment comprises Data &amp; Listing Services, Index and Workflow &amp; Insights.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Data business distributes historical and real-time market data to sell-side customers, the institutional investing community, retail online brokers, proprietary trading firms and other venues, as well as internet portals and data distributors. Our data products can enhance the transparency of market activity within our exchanges and provide critical information to professional and non-professional investors globally.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Listing Services business operates listing platforms in the U.S. and Europe and provides multiple global capital raising solutions for public companies. Our main listing markets are The Nasdaq Stock Market and the Nasdaq Nordic and Nasdaq Baltic exchanges. Through Nasdaq First North, our Nordic and Baltic operations also offer alternative marketplaces for smaller companies and growth companies.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 total of 5,249 companies listed securities on our U.S., Nasdaq Nordic, Nasdaq Baltic and Nasdaq First North exchanges. As of December 31, 2024, there were 4,075 total listings on The Nasdaq Stock Market, including 768 ETPs. The combined market capitalization in the U.S. was approximately $34.4 trillion. In Europe, the Nasdaq Nordic and Nasdaq Baltic exchanges, together with Nasdaq First North, were home to 1,174 listed companies with a combined market capitalization of approximately $2.0 trillion.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Index business develops and licenses Nasdaq-branded indices and financial products. We also license cash-settled futures, options and options on futures on our indices. As of December 31, 2024, 401 ETPs listed on 28 exchanges in over 20 countries tracked a Nasdaq index and accounted for $647 billion in AUM.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Workflow &amp; Insights includes our analytics and corporate solutions businesses. Our analytics business provides asset managers, investment consultants and institutional asset owners with information and analytics to make data-driven investment decisions, deploy their resources more productively, and provide liquidity solutions for private funds. Through our eVestment and Solovis solutions, we provide a suite of cloud-based solutions that help institutional investors and consultants conduct pre-investment due diligence, and monitor their portfolios post-investment. The eVestment platform also enables asset managers to efficiently distribute information about their firms and funds to asset owners and consultants worldwide.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Nasdaq Fund Network and Nasdaq Data Link are additional platforms in our suite of investment data analytics offerings and data management tools.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solutions business serves both public and private companies and organizations through our Investor Relations Intelligence, Sustainability Solutions and Governance Solutions products. Our public company clients can be companies listed on our exchanges or other U.S. and global exchanges. Our private company clients include a diverse group of organizations ranging from family-owned companies, government organizations, law firms, privately held entities, and various non-profit organizations to hospitals and healthcare systems. We help organizations enhance their ability to understand and expand their global shareholder base, improve corporate governance, and navigate the evolving sustainability landscape through our suite of advanced technology, analytics, reporting and consulting services.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Financial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Technology segment comprises Financial Crime Management Technology, Regulatory Technology and Capital Markets Technology businesses.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Crime Management Technology includes our Nasdaq Verafin solution, a cloud-based platform to help financial institutions detect, investigate, and report money laundering and financial fraud.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Technology comprises our surveillance and AxiomSL solutions. Our surveillance solutions are designed for banks, brokers and other market participants to assist them in complying with market abuse and integrity rules and regulations. In addition, we provide regulators and exchanges with a platform for surveillance. AxiomSL is a global leader in risk data management and regulatory reporting solutions for the financial industry, including banks, broker dealers and asset managers. Its unique enterprise data management platform delivers data lineage, risk aggregation, analytics, workflow automation, reconciliation, validation and audit functionality, as well as disclosures. AxiomSL’s platform supports compliance across a wide range of global and local regulations.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Markets Technology includes market technology, trade management services and Calypso solutions. Our market technology business is a leading global technology solutions provider and partner to exchanges, clearing organizations, central securities depositories, regulators, banks, brokers, buy-side firms and corporate businesses. Our market technology solutions are utilized by leading markets in North America, Europe and Asia as well as emerging markets in the Middle East, Latin America, and Africa. Our trade management services provide market participants with a wide variety of alternatives for connecting to and accessing our markets for a fee. Our marketplaces may be accessed via a number of different protocols used for quoting, order entry, trade reporting and connectivity to various data feeds. We also provide colocation services to market participants, whereby we offer firms cabinet space and power to house their own equipment and servers within our data centers. Additionally, we offer a number of wireless connectivity offerings between select data centers using millimeter wave and microwave technology. Calypso is a leading platform providing cross-asset, front-to-back trading, treasury, risk and collateral management solutions. The Calypso solution provides customers with a single platform designed from the outset to enable consolidation, innovation and growth.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Market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Services segment includes revenues from equity derivatives trading, cash equity trading, Nordic fixed income trading &amp; clearing, Nordic commodities and U.S. Tape plans data. We operate 19 exchanges across several asset classes, including derivatives, commodities, cash equity, debt, structured products and ETPs. In addition, in certain countries where we operate exchanges, we also provide clearing, settlement and central depository services. In June 2023, we entered into an agreement to sell our Nordic power trading and clearing business, which was subsequently terminated in June 2024. In January 2025, we entered into a new agreement to transfer existing open positions in our Nordic power derivatives trading and clearing business to a European exchange. The completion of this transaction is subject to customary regulatory approvals. Revenues from this business will continue to be reflected in other revenues in the Consolidated Statements of Income for all periods, and in our Corporate segment for our segment disclosures. Prior to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June 2023, these revenues were included in our Market Services segment. Additionally, certain data revenues from this business that were previously included in our Capital Access Platforms segment are also reflected in Other revenues in the Consolidated Statements of Income for all periods, and in our Corporate segment for our segment disclosures.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120" w:after="283"/>
        <w:jc w:val="both"/>
        <w:rPr/>
      </w:pPr>
      <w:r>
        <w:rPr>
          <w:rFonts w:ascii="Times New Roman;sans-serif" w:hAnsi="Times New Roman;sans-serif"/>
          <w:b w:val="false"/>
          <w:color w:val="000000"/>
          <w:sz w:val="20"/>
        </w:rPr>
        <w:t>The consolidated financial statements are prepared in accordance with U.S. GAAP and include the accounts of Nasdaq, its wholly-owned subsidiaries and other entities in which Nasdaq has a controlling financial interest. When we do not have a controlling interest in an entity but exercise significant influence over the entity’s operating and financial policies, such investment is accounted for under the equity method of accounting. See “Equity Method Investments” within “Investments”</w:t>
      </w:r>
      <w:r>
        <w:rPr>
          <w:color w:val="000000"/>
        </w:rPr>
        <w:t xml:space="preserve"> </w:t>
      </w:r>
      <w:r>
        <w:rPr>
          <w:rFonts w:ascii="Times New Roman;sans-serif" w:hAnsi="Times New Roman;sans-serif"/>
          <w:b w:val="false"/>
          <w:color w:val="000000"/>
          <w:sz w:val="20"/>
        </w:rPr>
        <w:t>below for further discussion.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reflect all adjustments which are, in the opinion of management, necessary for a fair statement of the results. These adjustments are of a normal recurring nature. All significant intercompany accounts and transactions have been eliminated in consolidation.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have been reclassified to conform to the current year presentation.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our consolidated financial statements, we make assumptions, judgments and estimates that can have a significant impact on our revenue, operating income and net income, as well as on the value of certain assets and liabilities in the consolidated balance sheets. At least quarterly, we evaluate our assumptions, judgments and estimates, and make changes as deemed necessary.</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Translation gains or losses resulting from translating our subsidiaries’ financial statements from the local functional currency to the reporting currency, net of tax, are included in accumulated other comprehensive loss in the Consolidated Balance Sheets. Assets and liabilities are translated at the balance sheet date while revenues and expenses are translated at the date the transaction occurs or at an applicable average rate.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all non-restricted cash in banks and highly liquid investments with original maturities of 90 days or less at the time of purchase. Such equivalent investments included in cash and cash equivalents in the Consolidated Balance Sheets were $373 million as of December 31, 2024 and $122 million as of December 31, 2023. Cash equivalents are carried at cost plus accrued interest, which approximates fair value due to the short maturities of these investments.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Restricted Cash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 which was $31 million as of December 31, 2024 and $20 million as of December 31, 2023, is restricted from withdrawal due to a contractual or regulatory requirement or not available for general use and as such is classified as restricted in the Consolidated Balance Sheets. As of December 31, 2024 and 2023, restricted cash and cash equivalents primarily includes funds held for regulatory capital for our trading and clearing businesses.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Default Funds and Margin Deposits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Receivables,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receivables are concentrated with our customers which primarily include corporate clients, banks, investment managers, brokers, and exchange operators. Receivables are shown net of allowance for credit losses. The allowance is maintained at a level that management believes to be sufficient to absorb expected losses over the life of our accounts receivable portfolio. The allowance is increased by the provision for bad debts, which is included in general, administrative and other expense in the Consolidated Statements of Income, and decreased by the amount of charge-offs, net of recoveries. </w:t>
      </w:r>
    </w:p>
    <w:p>
      <w:pPr>
        <w:pStyle w:val="TextBody"/>
        <w:bidi w:val="0"/>
        <w:spacing w:lineRule="auto" w:line="288" w:before="120" w:after="283"/>
        <w:jc w:val="both"/>
        <w:rPr/>
      </w:pPr>
      <w:r>
        <w:rPr>
          <w:rFonts w:ascii="Times New Roman;sans-serif" w:hAnsi="Times New Roman;sans-serif"/>
          <w:b w:val="false"/>
          <w:color w:val="000000"/>
          <w:sz w:val="20"/>
        </w:rPr>
        <w:t>The allowance is primarily based on an aging methodology. This method applies loss rates based on historical loss information which is disaggregated by business segment and, as deemed necessary, is adjusted for other factors and considerations that could impact collectibility.</w:t>
      </w:r>
      <w:r>
        <w:rPr>
          <w:color w:val="FF0090"/>
        </w:rPr>
        <w:t xml:space="preserve"> </w:t>
      </w:r>
      <w:r>
        <w:rPr>
          <w:rFonts w:ascii="Times New Roman;sans-serif" w:hAnsi="Times New Roman;sans-serif"/>
          <w:b w:val="false"/>
          <w:color w:val="000000"/>
          <w:sz w:val="20"/>
        </w:rPr>
        <w:t>Additionally, we consider corporate default rate averages over an extended period as compared to the period covered by our historical loss data and include an adjustment to historical loss percentages for current conditions and expected future conditions if necessary.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circumstances where a specific customer’s inability to meet its financial obligations is known (i.e., bankruptcy filings), we determine whether a specific provision for bad debts is required. Accounts receivable are written-off against the allowance when collection efforts cease. Due to changing economic, business and market conditions, we review the allowance quarterly and make changes to the allowance through the provision for bad debts as appropriate. If circumstances change (i.e., higher than expected defaults or an unexpected material adverse change in a major customer’s ability to pay), our estimates of recoverability could be reduced by a material amount. The total allowance netted against receivables in the Consolidated Balance Sheets was $10 million as of December 31, 2024 and $18 million as of December 31, 2023. Any provision for bad debt or write-off recorded during the year was immaterial.</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 securities are recognized on settlement date.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investments are comprised of trading securities bought principally to meet regulatory capital requirements mainly for our clearing operations at Nasdaq Clearing. These investments are classified as trading securities as they are generally sold in the near term, with changes in fair value included in other income (loss) in the Consolidated Statements of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generally obtained from third-party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“Fair Value Measurements” below for further discussion of fair value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Equity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 with readily determinable fair values (other than those accounted for under the equity method or those that result in consolidation of the investee) are measured at fair value and any changes in fair value are recognized in other income (loss) in the Consolidated Statements of Income.</w:t>
      </w:r>
    </w:p>
    <w:p>
      <w:pPr>
        <w:pStyle w:val="TextBody"/>
        <w:bidi w:val="0"/>
        <w:spacing w:lineRule="auto" w:line="288" w:before="120" w:after="283"/>
        <w:jc w:val="both"/>
        <w:rPr/>
      </w:pPr>
      <w:r>
        <w:rPr>
          <w:rFonts w:ascii="Times New Roman;sans-serif" w:hAnsi="Times New Roman;sans-serif"/>
          <w:b w:val="false"/>
          <w:color w:val="000000"/>
          <w:sz w:val="20"/>
        </w:rPr>
        <w:t xml:space="preserve">Equity investments without readily determinable fair values are accounted for under the measurement alternative, under which investments are measured at cost, less any impairment, </w:t>
      </w:r>
      <w:r>
        <w:rPr>
          <w:rFonts w:ascii="Times New Roman;sans-serif" w:hAnsi="Times New Roman;sans-serif"/>
          <w:b w:val="false"/>
          <w:color w:val="231F20"/>
          <w:sz w:val="20"/>
        </w:rPr>
        <w:t>plus or minus changes resulting from observable price changes in orderly transactions for the identical or a similar investment of the same issuer on</w:t>
      </w:r>
      <w:r>
        <w:rPr>
          <w:color w:val="000000"/>
        </w:rPr>
        <w:t xml:space="preserve"> </w:t>
      </w:r>
      <w:r>
        <w:rPr>
          <w:rFonts w:ascii="Times New Roman;sans-serif" w:hAnsi="Times New Roman;sans-serif"/>
          <w:b w:val="false"/>
          <w:color w:val="000000"/>
          <w:sz w:val="20"/>
        </w:rPr>
        <w:t xml:space="preserve">a prospective basis. </w:t>
      </w:r>
      <w:r>
        <w:rPr>
          <w:rFonts w:ascii="Times New Roman;sans-serif" w:hAnsi="Times New Roman;sans-serif"/>
          <w:b w:val="false"/>
          <w:color w:val="231F20"/>
          <w:sz w:val="20"/>
        </w:rPr>
        <w:t>We assess relevant transactions that occur on or before the balance sheet date to identify observable price changes, and we regularly monitor these investments to evaluate whether there is an indication that the investment is impaired, based on t</w:t>
      </w:r>
      <w:r>
        <w:rPr>
          <w:rFonts w:ascii="Times New Roman;sans-serif" w:hAnsi="Times New Roman;sans-serif"/>
          <w:b w:val="false"/>
          <w:color w:val="000000"/>
          <w:sz w:val="20"/>
        </w:rPr>
        <w:t>he share price from the investee’s latest financing round</w:t>
      </w:r>
      <w:r>
        <w:rPr>
          <w:rFonts w:ascii="Times New Roman;sans-serif" w:hAnsi="Times New Roman;sans-serif"/>
          <w:b w:val="false"/>
          <w:color w:val="231F20"/>
          <w:sz w:val="20"/>
        </w:rPr>
        <w:t>, the performance of the investee in relation to its own operating targets, the investee</w:t>
      </w:r>
      <w:r>
        <w:rPr>
          <w:color w:val="000000"/>
        </w:rPr>
        <w:t>’</w:t>
      </w:r>
      <w:r>
        <w:rPr>
          <w:rFonts w:ascii="Times New Roman;sans-serif" w:hAnsi="Times New Roman;sans-serif"/>
          <w:b w:val="false"/>
          <w:color w:val="231F20"/>
          <w:sz w:val="20"/>
        </w:rPr>
        <w:t>s liquidity and cash positio</w:t>
      </w:r>
      <w:r>
        <w:rPr>
          <w:rFonts w:ascii="Times New Roman;sans-serif" w:hAnsi="Times New Roman;sans-serif"/>
          <w:b w:val="false"/>
          <w:color w:val="000000"/>
          <w:sz w:val="20"/>
        </w:rPr>
        <w:t>n, and general market conditions. If a qualitative assessment indicates that the security is impaired, Nasdaq will estimate the fair value of the security and, if the fair value is less than the carrying amount of the security, will recognize an impairment loss in net income equal to the difference in the period the impairment occurs. See Note 6, “Investments,” for further discussion of our equity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no material adjustments were made to the carrying value of our equity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investments in equity securities are included in other non-current assets in the Consolidated Balance Sheets, as we intend to hold these investments for more than one year.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the equity method of accounting is used when we own 20% to 50% of the outstanding voting stock of a company or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estimated pro-rata share of earnings or losses each reporting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net income in the period the impairment occurs. See Note 6,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color w:val="000000"/>
          <w:sz w:val="20"/>
        </w:rPr>
        <w:t>Investments,” for further discussion of our equity method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material impairments were recorded to reduce the carrying value of our equity method investments in 2024, 2023 or 2022.</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Derivative Financial Instruments and Hedging Activities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Non-Designated Derivatives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foreign exchange forward contracts to manage foreign currency exposure of intercompany loans, accounts receivable, accounts payable and other balance sheet items. These contracts are not designated as hedges for financial reporting purposes. The change in fair value of these contracts is recognized in general, administrative and other expense in the Consolidated Statements of Income and offsets the foreign currency exposure.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fair value of our derivative instruments were immaterial.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Derivatives designated as cash flow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foreign currency contracts and designate them as cash flow hedges to manage forecasted foreign currency revenue and expenses. To receive hedge accounting treatment, all hedging relationships are formally documented at the inception of the hedge, and the hedges must be highly effective in offsetting changes to future cash flows on the hedged transactions. The change in fair value of these contracts is recorded, net of tax, in accumulated other comprehensive loss in the Consolidated Balance Sheets until the forecasted transaction occurs. When the forecasted transaction affects earnings, we reclassify the related gain or loss on the foreign currency revenue or foreign currency expense to revenue or operating expense, as applicable.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fair value of our derivative instruments designated as cash flow hedges were immaterial.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assets of our foreign subsidiaries are exposed to volatility in foreign currency exchange rates. We may utilize net investment hedges to offset the translation adjustment arising from re-measuring our investment in foreign subsidiaries.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Euro Notes have been designated as a hedge of our net investment in certain foreign subsidiaries to mitigate the foreign exchange risk associated with certain investments in these subsidiaries. Any increase or decrease related to the remeasurement of these notes into U.S. dollars is recorded in accumulated other comprehensive loss in the Consolidated Balance Sheets. See “Net Investment Hedge” of Note 9, “Debt Obligations,”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including leasehold improvements, are carried at cost less asset impairment charges and accumulated depreciation and amortization. Depreciation and amortization are recognized using the straight-line method over the estimated useful lives of the related assets, which range from 10 to 40 years for buildings and improvements, 3 to 5 years for data processing equipment, and 5 to 10 years for furniture and equipment.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Leasehold improvements are amortized using the straight-line method over the shorter of their estimated useful lives or the remaining term of the related lease.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develop systems solutions for both internal and external use. Certain costs incurred in connection with developing or obtaining internal use software are capitalized. In addition, certain costs of computer software to be sold, leased, or otherwise marketed as a separate product or as part of a product or process are capitalized beginning when a product’s technological feasibility has been established and ending when a product is available for general release. Technological feasibility is established upon completion of a detailed program design or, in its absence, completion. Prior to reaching technological feasibility, all costs are charged to expense. Unamortized capitalized costs are included in data processing equipment and software, within property and equipment, net in the Consolidated Balance Sheets. Capitalized software costs are amortized on a straight-line basis over the estimated useful lives of the software, generally 5 to 10 years. Amortization of these costs is included in depreciation and amortization expense in the Consolidated Statements of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Implementation costs incurred in a cloud computing arrangement that is a service contract are capitalized as a prepaid asset, primarily included in other current assets in the Consolidated Balance Sheets, and are amortized over the expected service period in the relevant expense category in the Consolidated Statements of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subject to impairment testing when events or conditions indicate that the carrying amount of an asset may not be recoverable. For internal use software, an impairment charge is recognized when the carrying amount of the internal use software exceeds its fair value and is not recoverable. For software to be sold, leased, or marketed, the carrying amount of the software is compared to its net realizable value, which represents the estimated future gross revenues from that product reduced by the estimated future costs of completing and disposing of that product. The amount by which the carrying amount exceeds the net realizable value shall be written off. Any required impairment loss is recorded as a reduction in the carrying amount of the related asset and a charge to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7, “Property and Equipment, net,”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283"/>
        <w:jc w:val="both"/>
        <w:rPr/>
      </w:pPr>
      <w:r>
        <w:rPr>
          <w:rFonts w:ascii="Times New Roman;sans-serif" w:hAnsi="Times New Roman;sans-serif"/>
          <w:b w:val="false"/>
          <w:color w:val="000000"/>
          <w:sz w:val="20"/>
        </w:rPr>
        <w:t>At inception, we determine whether a contract is or contains a lease. W</w:t>
      </w:r>
      <w:r>
        <w:rPr>
          <w:rFonts w:ascii="Times New Roman;sans-serif" w:hAnsi="Times New Roman;sans-serif"/>
          <w:b w:val="false"/>
          <w:color w:val="111111"/>
          <w:sz w:val="20"/>
        </w:rPr>
        <w:t>e have operating leases which are primarily real estate leases for our U.S. and European headquarters and for general office space.</w:t>
      </w:r>
      <w:r>
        <w:rPr>
          <w:color w:val="000000"/>
        </w:rPr>
        <w:t xml:space="preserve"> </w:t>
      </w:r>
      <w:r>
        <w:rPr>
          <w:rFonts w:ascii="Times New Roman;sans-serif" w:hAnsi="Times New Roman;sans-serif"/>
          <w:b w:val="false"/>
          <w:color w:val="000000"/>
          <w:sz w:val="20"/>
        </w:rPr>
        <w:t>As of December 31, 2024, t</w:t>
      </w:r>
      <w:r>
        <w:rPr>
          <w:rFonts w:ascii="Times New Roman;sans-serif" w:hAnsi="Times New Roman;sans-serif"/>
          <w:b w:val="false"/>
          <w:color w:val="111111"/>
          <w:sz w:val="20"/>
        </w:rPr>
        <w:t xml:space="preserve">hese leases have varying lease terms with remaining maturities ranging up to 12 years. Operating lease balances are included in operating lease assets, other current liabilities, and operating lease liabilities in the Consolidated Balance Sheets. We do not have any leases classified as finance leases. </w:t>
      </w:r>
    </w:p>
    <w:p>
      <w:pPr>
        <w:pStyle w:val="TextBody"/>
        <w:bidi w:val="0"/>
        <w:spacing w:lineRule="auto" w:line="288" w:before="120" w:after="283"/>
        <w:jc w:val="both"/>
        <w:rPr>
          <w:rFonts w:ascii="Times New Roman;sans-serif" w:hAnsi="Times New Roman;sans-serif"/>
          <w:b w:val="false"/>
          <w:color w:val="111111"/>
          <w:sz w:val="20"/>
        </w:rPr>
      </w:pPr>
      <w:r>
        <w:rPr>
          <w:rFonts w:ascii="Times New Roman;sans-serif" w:hAnsi="Times New Roman;sans-serif"/>
          <w:b w:val="false"/>
          <w:color w:val="111111"/>
          <w:sz w:val="20"/>
        </w:rPr>
        <w:t>Operating lease assets represent our right to use an underlying asset for the lease term and lease liabilities represent our obligation to make lease payments arising from the lease. Operating lease assets and liabilities are recognized at commencement date based on the present value of lease payments over the lease term. Since our leases do not provide an implicit rate, we use our incremental borrowing rate based on the estimated rate of interest for collateralized borrowing over a similar term of the lease payments at commencement date in determining the present value of lease payments. The operating lease asset also includes any lease payments made and excludes lease incentives. Our lease terms include options to extend or terminate the lease when we are reasonably certain that we will exercise that option. Lease expense for lease payments is recognized on a straight-line basis over the lease term. Certain of our lease agreements include rental payments adjusted periodically for inflation based on an index or rate. These payments are included in the initial measurement of the operating lease liability and operating lease asset. However, rental payments that are based on a change in an index or a rate are considered variable lease payments and are expensed as incurred.</w:t>
      </w:r>
    </w:p>
    <w:p>
      <w:pPr>
        <w:pStyle w:val="TextBody"/>
        <w:bidi w:val="0"/>
        <w:spacing w:lineRule="auto" w:line="288" w:before="120" w:after="283"/>
        <w:jc w:val="both"/>
        <w:rPr/>
      </w:pPr>
      <w:r>
        <w:rPr>
          <w:rFonts w:ascii="Times New Roman;sans-serif" w:hAnsi="Times New Roman;sans-serif"/>
          <w:b w:val="false"/>
          <w:color w:val="111111"/>
          <w:sz w:val="20"/>
        </w:rPr>
        <w:t xml:space="preserve">We have lease agreements with lease and non-lease components, which are accounted for as a single performance obligation </w:t>
      </w:r>
      <w:r>
        <w:rPr>
          <w:rFonts w:ascii="Times New Roman;sans-serif" w:hAnsi="Times New Roman;sans-serif"/>
          <w:b w:val="false"/>
          <w:color w:val="000000"/>
          <w:sz w:val="20"/>
        </w:rPr>
        <w:t>to the extent that the timing and pattern of transfer are similar for the lease and non-lease components and the lease component qualifies as an operating lease</w:t>
      </w:r>
      <w:r>
        <w:rPr>
          <w:rFonts w:ascii="Times New Roman;sans-serif" w:hAnsi="Times New Roman;sans-serif"/>
          <w:b w:val="false"/>
          <w:color w:val="111111"/>
          <w:sz w:val="20"/>
        </w:rPr>
        <w:t xml:space="preserve">. We do not recognize lease liabilities and operating lease assets for leases with a term of 12 months or less. We recognize these lease payments on a straight-line basis over the lease term.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our operating lease assets for potential impairment when there is evidence that events or changes in circumstances indicate that the carrying amount of the asset may not be recoverable. We fully impair our lease assets for locations that we vacate with no intention to sublease.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16, “Leases,”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Goodwill and Indefinite-Lived Intangible Assets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recognize specifically identifiable intangibles, such as customer relationships, technology, exchange and clearing registrations, trade names and licenses when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 right or contract is acquired. Goodwill and intangible assets deemed to have indefinite useful lives, primarily exchange and clearing registrations, are not amortized but instead are tested for impairment at least annually as of October 1 and more frequently whenever events or changes in circumstances indicate that the fair value of the asset may be less than its carrying amount, such as changes in the business climate, poor indicators of operating performance or the sale or disposition of a significant portion of a reporting unit. When testing goodwill and indefinite-lived intangible assets for impairment, we have the option of first performing a qualitative assessment to determine whether it is more likely than not that the fair value of a reporting unit or indefinite-lived intangible asset is less than their respective carrying amounts as the basis to determine if it is necessary to perform a quantitative impairment test. If we choose not to complete a qualitative assessment, or if the initial assessment indicates that it is more likely than not that the carrying amount of a reporting unit or the carrying amount of an indefinite-lived intangible asset exceeds their respective estimated fair values, a quantitative test is required.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a quantitative impairment test, we compare the fair value of each reporting unit and indefinite-lived intangible asset with their respective carrying amounts. If the carrying amounts of the reporting unit or the indefinite-lived intangible asset exceed their respective fair values, an impairment charge is recognized in an amount equal to the difference, limited to the total amount of goodwill allocated to that reporting unit or the total carrying value of the indefinite-lived intangible asset.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impairment of goodwill or indefinite-lived intangible assets for the years ended December 31, 2024, 2023 and 2022. Future disruptions to our business and events, such as prolonged economic weakness or unexpected significant declines in operating results of any of our reporting units or businesses, may result in goodwill or indefinite-lived intangible asset impairment charges in the future.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Other Long-Lived Assets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our other long-lived assets, such as finite-lived intangible assets, property and equipment and operating lease assets,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Any required impairment loss is measured as the amount by which the carrying amount of the asset exceeds its fair value and is recorded as a reduction in the carrying amount of the related asset and a charge to operating results. We fully impair our lease assets for locations that we vacate with no intention to sublease. </w:t>
      </w:r>
    </w:p>
    <w:p>
      <w:pPr>
        <w:pStyle w:val="TextBody"/>
        <w:bidi w:val="0"/>
        <w:spacing w:lineRule="auto" w:line="288" w:before="120" w:after="283"/>
        <w:jc w:val="both"/>
        <w:rPr/>
      </w:pPr>
      <w:r>
        <w:rPr>
          <w:rFonts w:ascii="Times New Roman;sans-serif" w:hAnsi="Times New Roman;sans-serif"/>
          <w:b w:val="false"/>
          <w:color w:val="000000"/>
          <w:sz w:val="20"/>
        </w:rPr>
        <w:t>There were no material finite-lived intangible assets impairment charges in 2</w:t>
      </w:r>
      <w:r>
        <w:rPr>
          <w:rFonts w:ascii="Times New Roman;sans-serif" w:hAnsi="Times New Roman;sans-serif"/>
          <w:b w:val="false"/>
          <w:color w:val="000000"/>
          <w:sz w:val="20"/>
          <w:shd w:fill="FFFFFF" w:val="clear"/>
        </w:rPr>
        <w:t>024, 2023 and 2022.</w:t>
      </w:r>
      <w:r>
        <w:rPr>
          <w:color w:val="000000"/>
        </w:rPr>
        <w:t xml:space="preserve"> </w:t>
      </w:r>
      <w:r>
        <w:rPr>
          <w:rFonts w:ascii="Times New Roman;sans-serif" w:hAnsi="Times New Roman;sans-serif"/>
          <w:b w:val="false"/>
          <w:color w:val="000000"/>
          <w:sz w:val="20"/>
        </w:rPr>
        <w:t xml:space="preserve">We recorded pre-tax, non-cash property and equipment asset impairment charges, primarily in relation to our restructuring programs of $37 million in 2024, $12 million in 2023, and $8 million in 2022. See Note 20, “Restructuring Charges,” for further discussion. There were no material operating lease assets impairments in 2024 and 2022. As a result of the review of our real estate and facility capacity requirements, for the year ended December 31, 2023, we recorded impairment charges of $23 million, of which $13 million related to operating lease asset impairment. See Note 16, “Leases,” for further discussion.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Revenue Recognition and Transaction-Based Expenses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recognition policies under FASB ASC Topic 606, “Revenue from Contracts with Customers,” or Topic 606, are described in the following paragraphs.</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Contract Balances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revenues are considered to be revenues from contracts with customers. The related accounts receivable balances are recorded in the Consolidated Balance Sheets as receivables which are net of an allowance for credit losses. We do not have obligations for warranties, returns or refunds to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contracts with customers do not have significant variable consideration. We do not have a material amount of revenues recognized from performance obligations that were satisfied in prior periods. We do not provide disclosures about transaction price allocated to unsatisfied performance obligations if contract durations are less than one year.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contract durations that are one-year or greater, the portion of transaction price allocated to unsatisfied performance obligations is included in Note 3, “Revenue From Contracts With Customers.” Our deferred revenue primarily arises from contract liabilities related to our fees for annual and initial listings, workflow &amp; insights, financial crime management technology, regulatory technology, and capital markets technology contracts. Deferred revenue is the only significant contract asset or liability as of December 31, 2024 and 2023. See Note 8, “Deferred Revenue,” for our discussion of deferred revenue balances, activity, and expected timing of recognition. See “Revenue Recognition” below for further descriptions of our revenue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231F20"/>
          <w:sz w:val="20"/>
        </w:rPr>
        <w:t>S</w:t>
      </w:r>
      <w:r>
        <w:rPr>
          <w:rFonts w:ascii="Times New Roman;sans-serif" w:hAnsi="Times New Roman;sans-serif"/>
          <w:b w:val="false"/>
          <w:color w:val="000000"/>
          <w:sz w:val="20"/>
        </w:rPr>
        <w:t>ales commissions earned by our sales force are considered incremental and recoverable costs of obtaining a contract with a customer. These costs are deferred and amortized on a straight-line basis over the period of benefit that we have determined to be the contract term or estimated service period. Sales commissions for renewal contracts are deferred and amortized on a straight-line basis over the related contractual renewal period. Amortization expense is included in compensation and benefits expense in the Consolidated Statements of Income. The balance of deferred costs and related amortization expense are not material to our consolidated financial statements. Sales commissions are expensed when incurred if contract durations are one year or less. Sales taxes are excluded from transaction prices.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judgments and estimates were used in the identification and timing of satisfaction of performance obligations and the related allocation of transaction price and are discussed below. We believe that these represent a faithful depiction of the transfer of services to our customers.</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 Recognition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revenue contract classifications are described below. Revenues are categorized based on similar economic characteristics of the nature, amount, timing and uncertainty of our revenues and cash flows.</w:t>
      </w:r>
    </w:p>
    <w:p>
      <w:pPr>
        <w:pStyle w:val="TextBody"/>
        <w:bidi w:val="0"/>
        <w:spacing w:lineRule="auto" w:line="288" w:before="120" w:after="283"/>
        <w:jc w:val="both"/>
        <w:rPr>
          <w:rFonts w:ascii="Times New Roman;sans-serif" w:hAnsi="Times New Roman;sans-serif"/>
          <w:b/>
          <w:i/>
          <w:color w:val="231F20"/>
          <w:sz w:val="20"/>
        </w:rPr>
      </w:pPr>
      <w:r>
        <w:rPr>
          <w:rFonts w:ascii="Times New Roman;sans-serif" w:hAnsi="Times New Roman;sans-serif"/>
          <w:b/>
          <w:i/>
          <w:color w:val="231F20"/>
          <w:sz w:val="20"/>
        </w:rPr>
        <w:t>Capital Access Platforms</w:t>
      </w:r>
    </w:p>
    <w:p>
      <w:pPr>
        <w:pStyle w:val="TextBody"/>
        <w:bidi w:val="0"/>
        <w:spacing w:lineRule="auto" w:line="288" w:before="120" w:after="283"/>
        <w:jc w:val="both"/>
        <w:rPr>
          <w:rFonts w:ascii="Times New Roman;sans-serif" w:hAnsi="Times New Roman;sans-serif"/>
          <w:b w:val="false"/>
          <w:i/>
          <w:color w:val="231F20"/>
          <w:sz w:val="20"/>
          <w:u w:val="single"/>
        </w:rPr>
      </w:pPr>
      <w:r>
        <w:rPr>
          <w:rFonts w:ascii="Times New Roman;sans-serif" w:hAnsi="Times New Roman;sans-serif"/>
          <w:b w:val="false"/>
          <w:i/>
          <w:color w:val="231F20"/>
          <w:sz w:val="20"/>
          <w:u w:val="single"/>
        </w:rPr>
        <w:t>Data and Listings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Data revenues are earned from U.S. and European proprietary data products. We earn revenues primarily based on the number of data subscribers and distributors of our data. Data revenues are subscription-based and are recognized on a monthly basis.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Listing services revenues primarily include initial listing fees and annual renewal fees. Under Topic 606, the initial listing fee is allocated to multiple performance obligations including initial and subsequent listing services and corporate solutions products (when a company qualifies to receive certain complimentary IPO products under the applicable Nasdaq rule), as well as a customer’s material right to renew the option to list on our exchanges. In performing this allocation, the standalone selling price of the performance obligations is based on the initial and annual listing fees and the standalone selling price of the IPO complimentary services is based on its market value. All listing fees are billed upfront and the identified performance obligations are satisfied over time since the customer receives and consumes the benefit as Nasdaq provides the listing service. The amount of revenue related to the IPO complimentary services performance obligation is recognized ratably over a three-year period, which is based on contract terms, with the remaining revenue recognized ratably over six years which is based on our historical listing experience and projected future listing duration.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U.S., annual renewal fees are charged to listed companies based on their number of outstanding shares at the end of the prior year and are recognized ratably over the following twelve-month period since the customer receives and consumes the benefit as Nasdaq provides the service. Annual fees are charged to newly listed companies on a pro-rata basis, based on outstanding shares at the time of listing and recognized over the remainder of the year. European annual renewal fees, which are received from companies listed on our Nasdaq Nordic and Nasdaq Baltic exchanges and Nasdaq First North, are directly related to the listed companies’ market capitalization on a trailing twelve-month basis and are recognized ratably over the following twelve-month period since the customer receives and consumes the benefit as Nasdaq provides the service.</w:t>
      </w:r>
    </w:p>
    <w:p>
      <w:pPr>
        <w:pStyle w:val="TextBody"/>
        <w:bidi w:val="0"/>
        <w:spacing w:lineRule="auto" w:line="288" w:before="120" w:after="283"/>
        <w:jc w:val="both"/>
        <w:rPr>
          <w:rFonts w:ascii="Times New Roman;sans-serif" w:hAnsi="Times New Roman;sans-serif"/>
          <w:b w:val="false"/>
          <w:i/>
          <w:color w:val="231F20"/>
          <w:sz w:val="20"/>
          <w:u w:val="single"/>
        </w:rPr>
      </w:pPr>
      <w:r>
        <w:rPr>
          <w:rFonts w:ascii="Times New Roman;sans-serif" w:hAnsi="Times New Roman;sans-serif"/>
          <w:b w:val="false"/>
          <w:i/>
          <w:color w:val="231F20"/>
          <w:sz w:val="20"/>
          <w:u w:val="single"/>
        </w:rPr>
        <w:t>Index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develop and license Nasdaq-branded indices and financial products and provide index data products for third-party clients. Revenues primarily include license fees from these branded indices and financial products in the U.S. and abroad. We primarily have two types of license agreements: asset-based licenses and transaction-based licenses. Customers are charged based on a percentage of AUM for licensed products, per the agreement, on a monthly or quarterly basis. These revenues are recognized over the term of the license agreement since the customer receives and consumes the benefit as Nasdaq provides the service. Revenue from index data subscriptions are recognized on a monthly basis.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since the customer receives and consumes the benefit as Nasdaq provides the service. </w:t>
      </w:r>
    </w:p>
    <w:p>
      <w:pPr>
        <w:pStyle w:val="TextBody"/>
        <w:bidi w:val="0"/>
        <w:spacing w:lineRule="auto" w:line="288" w:before="120" w:after="283"/>
        <w:jc w:val="both"/>
        <w:rPr>
          <w:rFonts w:ascii="Times New Roman;sans-serif" w:hAnsi="Times New Roman;sans-serif"/>
          <w:b w:val="false"/>
          <w:i/>
          <w:color w:val="231F20"/>
          <w:sz w:val="20"/>
          <w:u w:val="single"/>
        </w:rPr>
      </w:pPr>
      <w:r>
        <w:rPr>
          <w:rFonts w:ascii="Times New Roman;sans-serif" w:hAnsi="Times New Roman;sans-serif"/>
          <w:b w:val="false"/>
          <w:i/>
          <w:color w:val="231F20"/>
          <w:sz w:val="20"/>
          <w:u w:val="single"/>
        </w:rPr>
        <w:t>Workflow &amp; Insights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Workflow &amp; Insights includes our analytics and corporate solutions products.</w:t>
      </w:r>
    </w:p>
    <w:p>
      <w:pPr>
        <w:pStyle w:val="TextBody"/>
        <w:bidi w:val="0"/>
        <w:spacing w:lineRule="auto" w:line="288" w:before="120" w:after="283"/>
        <w:jc w:val="both"/>
        <w:rPr/>
      </w:pPr>
      <w:r>
        <w:rPr>
          <w:rFonts w:ascii="Times New Roman;sans-serif" w:hAnsi="Times New Roman;sans-serif"/>
          <w:b w:val="false"/>
          <w:color w:val="231F20"/>
          <w:sz w:val="20"/>
        </w:rPr>
        <w:t>Analytics</w:t>
      </w:r>
      <w:r>
        <w:rPr>
          <w:color w:val="000000"/>
        </w:rPr>
        <w:t xml:space="preserve"> </w:t>
      </w:r>
      <w:r>
        <w:rPr>
          <w:rFonts w:ascii="Times New Roman;sans-serif" w:hAnsi="Times New Roman;sans-serif"/>
          <w:b w:val="false"/>
          <w:color w:val="000000"/>
          <w:sz w:val="20"/>
        </w:rPr>
        <w:t>revenues are earned from investment content and analytics products. We earn revenues primarily based on the number of content and analytics subscribers and distributors.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agreements are generally one to three years in term, payable in advance, and provide for automatic renewal. Subscription-based revenues are recognized over time on a ratable basis over the contract period beginning on the date that our service is made available to the customer since the customer receives and consumes the benefit as Nasdaq provides the service.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solutions business includes our Investor Relations Intelligence, Governance Solutions and Sustainability Solutions products, which serve both public and private companies and organizations.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solutions revenues primarily include subscription and transaction-based income from our investor relations intelligence and governance solutions products and services. Subscription-based revenues earned are recognized over time on a ratable basis over the contract period beginning on the date that our service is made available to the customer since the customer receives and consumes the benefit as Nasdaq provides the service. Generally, fees are billed in advance and the contract provides for automatic renewal. As part of subscription agreements, customers can also be charged usage fees based upon actual usage of the services provided. Revenues from usage fees are recognized at a point in time when the service is provided.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Technology</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Financial Crime Management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crime management technology business, which includes our Nasdaq Verafin solution, primarily consists of SaaS revenues. We enter into subscription agreements which allow customers access to our cloud platform. Subscription agreements are generally three years in term, payable in advance, with the option of automatic renewal for some products. Subscription-based revenues are recognized over time on a ratable basis over the contract period beginning on the date that our service is made available to the customer since the customer receives and consumes the benefit as Nasdaq provides the service.</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Regulatory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Technology includes AxiomSL and surveillance solutions.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AxiomSL solutions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AxiomSL provides financial institutions with risk &amp; financial regulatory reporting and risk management solutions. The products can be offered as an on-premises or as a cloud service agreement.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AxiomSL on-premises software offering includes license and PCS, which includes frequent and ongoing mandatory regulatory updates. Historically, the license and the PCS were considered distinct performance obligations, with license revenue recognized upfront at the point in time when the software is made available to the customer, and support is recognized over time on a ratable basis over the contract period beginning on the date that our service is made available to the customer. During the third quarter of 2024, as part of finalizing the purchase accounting of the Adenza acquisition, and based on new information obtained on the frequent and ongoing mandatory regulatory updates to AxiomSL's regulatory reporting software, which are critical to the utility and value of the product for the client, we noted that the software license and PCS constitute a single, combined performance obligation and would be recognized ratably over the contract term. See Note 3, “Revenue from contracts with customers,” for further discussion.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AxiomSL can also be offered as a cloud service whereby the software is hosted and managed for customers. These hosted agreements generally include a license, hosting services and maintenance services. We have determined that these services are not distinct in the context of the hosting arrangement as the customer cannot benefit from the license or maintenance without the hosting services. Cloud revenues are recognized over time on a ratable basis over the contract period beginning on the date that our service is made available to the customer since the customer receives and consumes the benefit as Nasdaq provides the service.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Surveillance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surveillance solutions are primarily SaaS based. We enter into subscription agreements which allow customers access to our cloud platform or a connection to our servers to access the software. We recognize revenue from these agreements over time on a ratable basis over the contract period beginning on the date that our service is made available to the customer since the customer receives and consumes the benefit as Nasdaq provides the service.</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Capital Markets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Capital Markets Technology includes our Calypso and market technology solutions as well as trade management services.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Calypso solutions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Calypso product offering includes on-premises and cloud service agreements. We recognize revenue from cloud service agreements similar to our revenue recognition for the AxiomSL agreements discussed above.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our on-premises offering, a license provides customers with the right to use the software at its current state at the time it is made available to the customer. These contracts generally consist of the following distinct performance obligations: license and PCS. In allocating the contractual price to each performance obligation, we have used our best estimate of the stand-alone selling price. Consideration is first allocated to performance obligations with established stand-alone selling prices based on observable evidence.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License revenue is recognized upfront at the point in time when the software is made available to the customer as this is the point the user of the software can direct the use of and obtain substantially all of the remaining benefits from the software license. PCS revenue is recognized over time on a ratable basis over the contract period beginning on the date that our service is made available to the customer since the customer receives and consumes the benefit as Nasdaq provides the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offered for our Calypso and market technology customers, are typically billed on a time and expense basis and revenue is recognized based on actual hours incurred. Nasdaq also offers fixed price contract agreements where revenue is recognized using the input method to measure progress towards complete satisfaction of the services, because the customer simultaneously receives and consumes the benefits provided by the Company.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technology solutions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market technology revenues primarily consist of software, license and support revenues, SaaS revenues, and change request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long-term contracts with customers to develop customized technology solutions, license the right to use software, and provide support and other services to our customers. We also enter into agreements to modify the system solutions sold by Nasdaq after delivery has occurred. In addition, we enter into subscription agreements which allow customers to connect to our servers to access our software.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contracts with customers to develop customized technology solutions, license the right to use software and provide support and other services to our customers have multiple performance obligations. The performance obligations are generally: (i) software license and installation service and (ii) software support. We have determined that the software license and installation service are not distinct as the license and the customized installation service are inputs to produce the combined output, a functional and integrated software system.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contracts with multiple performance obligations, we allocate the contract transaction price to each performance obligation using our best estimate of the standalone selling price of each distinct good or service in the contract. In instances where standalone selling price is not directly observable, such as when we do not sell the product or service separately, we determine the standalone selling price predominantly through an expected cost plus a margin approach. Revenues related to the market technology contracts described above represented 5.8%, 11.3% and 13.4% of total Capital Markets Technology revenue for the years ended December 31, 2024, 2023 and 2022,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modifications are routine in the performance of our contracts. Contracts are often modified to account for changes in contract specifications or requirements. In most instances, contract modifications are for goods and services that are not distinct, and, therefore, are accounted for as part of the existing contract.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our long-term contracts, payments are generally made throughout the contract life and can be dependent on either reaching certain milestones or paid upfront in advance of the service period depending on the stage of the contract. For subscription agreements, contract payment terms can be quarterly, annually or monthly, in advance. For all other contracts, payment terms vary.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 relative to total estimated costs at completion to measure progress toward satisfying our performance obligation. Incurred costs represent work performed, which corresponds with, and thereby depicts, the transfer of control to the customer. Contract costs generally include labor and direct overhead. For software support and update services, and for subscription agreements which allow customers to connect to our servers to access our software, we generally recognize revenue ratably over the service period beginning on the date our service is made available to the customer since the customer receives and consumes the benefit consistently over the period as Nasdaq provides the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our long-term contracts requires judgment relative to assessing risks and their impact on the estimate of revenues and costs. Our estimates are impacted by factors such as the potential for schedule and technical issues, productivity, and the complexity of work performed.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Technology SaaS revenues are recognized similar to our AxiomSL and Calypso solutions.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Trade management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trade management services, we provide market participants with a wide variety of alternatives for connecting to and accessing our markets for a fee. We also offer market participants colocation services, whereby we charge firms for cabinet space and power to house their own equipment and servers within our data centers. These participants are charged monthly fees for cabinet space, connectivity and support in accordance with our published fee schedules. These fees are recognized on a monthly basis when the performance obligation is met. We also earn revenues from annual and monthly exchange membership and registration fees. Revenues for monthly exchange membership and registration fees are recognized on a monthly basis as the service is provided. Revenues from annual fees for exchange membership and registration fees are recognized ratably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twelve-month period since the customer receives and consumes the benefit as Nasdaq provides the service.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Market Services</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Transaction-Based Trading and Clearing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Transaction-based trading and clearing includes equity derivative trading and clearing, cash equity trading and FICC revenues. Nasdaq charges transaction fees for trades executed on our exchanges, as well as on orders that are routed to and executed on other market venues. Nasdaq charges clearing fees for contracts cleared with Nasdaq Clearing.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U.S., transaction fees are based on trading volumes for trades executed on our U.S. exchanges and in Europe, transaction fees are based on the volume and value of traded and cleared contracts. In Canada, transaction fees are based on trading volumes for trades executed on our Canadian exchange.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satisfies its performance obligation for trading services upon the execution of a customer trade and clearing services when a contract is cleared, as trading and clearing transactions are substantially complete when they are executed and we have no further obligation to the customer at that time. Transaction-based trading and clearing fees can be variable and are based on trade volume tiered discounts. Transaction revenues, as well as any tiered volume discounts, are calculated and billed monthly in accordance with our published fee schedules. In the U.S., we also pay liquidity payments to customers based on our published fee schedules. We use these payments to improve the liquidity on our markets and therefore recognize those payments as a cost of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U.S. equity derivative trading, we credit a portion of the per share execution charge to the market participant that provides the liquidity. For U.S. and Canadian cash equity trading, including for The Nasdaq Stock Market, Nasdaq PSX and Nasdaq CXC, we credit a portion of the per share execution charge to the market participant that provides the liquidity, and for Nasdaq BX and Nasdaq CX2, we credit a portion of the per share execution charge to the market participant that takes the liquidity. We record these credits as transaction rebates that are included in transaction-based expenses in the Consolidated Statements of Income. These transaction rebates are paid on a monthly basis and the amounts due are included in accounts payable and accrued expenses in the Consolidated Balance Sheets.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we pay Section 31 fees to the SEC for supervision and regulation of securities markets. We pass these costs along to our customers through our equity derivative trading and clearing fees and our cash equity trading fees. We collect the fees as a pass-through charge from organizations executing eligible trades on our options exchanges and our cash equity platforms and we recognize these amounts in transaction-based expenses when incurred. Section 31 fees received are included in cash and cash equivalents in the Consolidated Balance Sheets at the time of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receipt and, as required by law, the amount due to the SEC is remitted semiannually and recorded as Section 31 fees payable to the SEC in the Consolidated Balance Sheets until paid. Since the amount recorded as revenues is equal to the amount recorded as transaction-based expenses, there is no impact on our revenues less transaction-based expenses. As we hold the cash received until payment to the SEC, we earn interest income on the related cash balances.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our Limitation of Liability Rule and procedures, we may, subject to certain caps, provide compensation for losses directly resulting from our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U.S. Tape Plans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U.S. Tape plans, revenues are collected monthly based on published fee schedules and distributed quarterly to the U.S. exchanges based on a formula required by Regulation NMS that takes into account both trading and quoting activity. These revenues are presented on a net basis as all indicators of principal versus agent reporting under U.S. GAAP have been considered in analyzing the appropriate presentation of the revenue sharing. The following are primary indicators of net reporting:</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We are the administrator for the UTP plan, in addition to being a participant in the plan. In our unique role as administrator, we facilitate the collection and dissemination of revenues on behalf of the plan participants. As a participant, we share in the net distribution of revenues according to the plan on the same terms as all other plan participants.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operating committee of the plan, which comprises representatives from each of the participants, including us solely in our capacity as a plan participant, is responsible for setting the level of fees to be paid by distributors and subscribers and taking action in accordance with the provisions of the plan, subject to SEC approval.</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Risk of loss on the revenue is shared equally among plan participants according to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2023 and 2022, Other revenues include revenues related to our Nordic power derivatives trading and clearing business, see “Market Services” of Note 1, “Organization and Nature of Operations,” for further discussion. In June 2023, we entered into an agreement to sell our Nordic power trading and clearing business, which was subsequently terminated in June 2024. In January 2025, we entered into a new agreement to transfer existing open positions in our Nordic power derivatives trading and clearing business to a European exchange. The completion of this transaction is subject to customary regulatory approvals. Revenues from this business will continue to be reflected in Other revenues. Prior to June 2023, these revenues were included in our Market Services and Capital Access Platforms segments.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2022, Other revenues also include a transitional services agreement associated with a divested business. For the year ended December 31, 2022, Other revenues also include revenues related to our Nordic broker services business for which we completed the wind-down in June 2022. Prior to June 2022, these revenues were included in our Market Services and Capital Access Platforms segments.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both basic and diluted earnings per share. Basic earnings per share is computed by dividing net income attributable to Nasdaq by the weighted-average number of common shares outstanding for the period. Diluted earnings per share is computed by dividing net income attributable to Nasdaq by the weighted-average number of common shares and common share equivalents outstanding during the period and reflects the assumed conversion of all dilutive securities, which primarily consist of restricted stock, PSUs, and employee stock options. Common share equivalents are excluded from the computation in periods for which they have an anti-dilutive effect. Stock options for which the exercise price exceeds the average market price over the period are anti-dilutive and, accordingly, are excluded from the calculation. Shares which are considered contingently issuable are included in the computation of dilutive earnings per share on a weighted average basis when management determines the applicable performance criteria would have been met if the performance period ended as of the date of the relevant computation. See Note 13, “Earnings Per Share,”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Pension, SERP and Other Post-Retirement Benefit Plans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we terminated our U.S. pension plan and took steps to wind down the plan and transfer the resulting liability to an insurance company. This process was completed in 2024. See Note 10, “Retirement Plans,” for further discussion.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nonqualified SERPs for certain senior executives and other post-retirement benefit plans for eligible employees in the U.S. Most employees outside the U.S. are covered by local retirement plans or by applicable social laws. Benefits under social laws are generally expensed in the periods in which the costs are incurred.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nonqualified SERPs and other post-retirement benefit plans are measured using actuarial valuations. Actuarial gains and losses are recorded in accumulated other comprehensive loss in the Consolidated Balance Sheets. We assess our nonqualified SERPs and other post-retirement benefit plan assumptions on an annual basis. In evaluating these assumptions, we consider many factors, including evaluation of the discount rate, which is modified to reflect the prevailing market rates at the measurement date of a high-quality fixed-income debt instrument portfolio that would provide the future cash flows needed to pay the benefit obligations as they come due. Actuarial assumptions are based upon management’s best estimates and judgment. See Note 10, “Retirement Plans,”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Share-Based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uses the fair value method of accounting for share-based awards. Share-based awards, or equity awards, include restricted stock, PSUs, and stock options. The fair value of restricted stock awards and PSUs, other than PSUs granted with market conditions, is determined based on the grant date closing stock price less the present value of future cash dividends. We estimate the fair value of PSUs granted with market conditions using a Monte Carlo simulation model at the date of grant. The fair value of stock options are estimated using the Black-Scholes option-pricing model.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recognize compensation expense for equity awards on a straight-line basis over the requisite service period of the award, taking into account an estimated forfeiture rate. Granted but unvested shares are generally forfeited upon termination of employment.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Excess tax benefits or expense related to employee share-based payments, if any, are recognized as income tax benefit or expense in the Consolidated Statements of Income when the awards vest or are settled.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also has an ESPP that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“Share-Based Compensation,”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Merger and Strategic Initiatives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incremental direct merger and strategic initiative costs relating to various completed and potential acquisitions, divestitures, and other strategic opportunities. These costs generally include integration costs, as well as legal, due diligence and other third-party transaction costs and are expensed as incurred.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from selling an asset or paid to transfer a liability, or the exit price, in an orderly transaction between market participants at the measurement date. When determining the fair value measurements for assets and liabilities required or permitted to be either recorded or disclosed at fair value, we consider the principal or most advantageous market in which we would transact, and we also consider assumptions that market participants would use when pricing the asset or liability. Fair value measurement establishes a hierarchy of valuation techniques based on whether the inputs to those valuation techniques are observable or unobservable. Observable inputs reflect market data obtained from independent sources, while unobservable inputs reflect Nasdaq’s market assumptions. These two types of inputs create the following fair value hierarchy:</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Quoted prices for identical instruments in active markets.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Level 2:</w:t>
      </w:r>
      <w:r>
        <w:rPr>
          <w:color w:val="000000"/>
        </w:rPr>
        <w:t xml:space="preserve"> </w:t>
      </w:r>
      <w:r>
        <w:rPr>
          <w:rFonts w:ascii="Times New Roman;sans-serif" w:hAnsi="Times New Roman;sans-serif"/>
          <w:b w:val="false"/>
          <w:color w:val="000000"/>
          <w:sz w:val="20"/>
        </w:rPr>
        <w:t>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Level 3:</w:t>
      </w:r>
      <w:r>
        <w:rPr>
          <w:color w:val="000000"/>
        </w:rPr>
        <w:t xml:space="preserve"> </w:t>
      </w:r>
      <w:r>
        <w:rPr>
          <w:rFonts w:ascii="Times New Roman;sans-serif" w:hAnsi="Times New Roman;sans-serif"/>
          <w:b w:val="false"/>
          <w:color w:val="000000"/>
          <w:sz w:val="20"/>
        </w:rPr>
        <w:t>Instruments whose significant value drivers are unobservable.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hierarchy requires the use of observable market data when available.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14, “Fair Value of Financial Instruments,”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Tax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the asset and liability method to determine income taxes on all transactions recorded in the consolidated financial statements. Deferred tax assets (net of valuation allowances) and deferred tax liabilities are presented net by jurisdiction as either a non-current asset or liability in the Consolidated Balance Sheets, as appropriate.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Subsequent Events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evaluated subsequent events through the issuance date of this Annual Report on Form 10-K.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Recent Accounting Developments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enhances income tax disclosure requirements by requiring public entities to provide additional information in its tax rate reconciliation and additional disclosures about income taxes paid. The update is effective for annual periods beginning after December 15, 2024. This update should be applied prospectively, but entities have the option to apply it retrospectively. The adoption of this standard only impacts disclosures and is not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120" w:after="283"/>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tables summarize the disaggregation of revenue by major product and service and by segment for the years ended December 31, 2024, 2023 and 2022:</w:t>
      </w:r>
    </w:p>
    <w:tbl>
      <w:tblPr>
        <w:tblW w:w="7092" w:type="dxa"/>
        <w:jc w:val="left"/>
        <w:tblInd w:w="0" w:type="dxa"/>
        <w:tblLayout w:type="fixed"/>
        <w:tblCellMar>
          <w:top w:w="28" w:type="dxa"/>
          <w:left w:w="28" w:type="dxa"/>
          <w:bottom w:w="28" w:type="dxa"/>
          <w:right w:w="28" w:type="dxa"/>
        </w:tblCellMar>
      </w:tblPr>
      <w:tblGrid>
        <w:gridCol w:w="1298"/>
        <w:gridCol w:w="1141"/>
        <w:gridCol w:w="1146"/>
        <w:gridCol w:w="211"/>
        <w:gridCol w:w="616"/>
        <w:gridCol w:w="109"/>
        <w:gridCol w:w="109"/>
        <w:gridCol w:w="109"/>
        <w:gridCol w:w="109"/>
        <w:gridCol w:w="211"/>
        <w:gridCol w:w="616"/>
        <w:gridCol w:w="109"/>
        <w:gridCol w:w="109"/>
        <w:gridCol w:w="109"/>
        <w:gridCol w:w="109"/>
        <w:gridCol w:w="211"/>
        <w:gridCol w:w="61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Capital Access Platforms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&amp; Listing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Workflow &amp; Insights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Technology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Crime Management 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Markets 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Market Services,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less transaction-based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20"/>
        </w:rPr>
        <w:t xml:space="preserve">Substantially all revenues from the Capital Access Platforms and Financial Technology segments were recognized over time </w:t>
      </w:r>
      <w:r>
        <w:rPr>
          <w:rFonts w:ascii="Times New Roman;sans-serif" w:hAnsi="Times New Roman;sans-serif"/>
          <w:b w:val="false"/>
          <w:color w:val="231F20"/>
          <w:sz w:val="20"/>
        </w:rPr>
        <w:t xml:space="preserve">for the years ended </w:t>
      </w:r>
      <w:r>
        <w:rPr>
          <w:rFonts w:ascii="Times New Roman;sans-serif" w:hAnsi="Times New Roman;sans-serif"/>
          <w:b w:val="false"/>
          <w:color w:val="000000"/>
          <w:sz w:val="20"/>
        </w:rPr>
        <w:t>December 31, 2024, 2023 and 2022. For the years ended December 31, 2024, 2023 and 2022, approximately 95.3%, 93.0% and 93.2%, respectively, of Market Services revenues were recognized at a point in time and 4.7%, 7.0% and 6.8%, respectively, were recognized over time.</w:t>
      </w:r>
    </w:p>
    <w:p>
      <w:pPr>
        <w:pStyle w:val="TextBody"/>
        <w:bidi w:val="0"/>
        <w:spacing w:lineRule="auto" w:line="288" w:before="120" w:after="283"/>
        <w:jc w:val="both"/>
        <w:rPr/>
      </w:pPr>
      <w:r>
        <w:rPr>
          <w:rFonts w:ascii="Times New Roman;sans-serif" w:hAnsi="Times New Roman;sans-serif"/>
          <w:b w:val="false"/>
          <w:color w:val="000000"/>
          <w:sz w:val="20"/>
        </w:rPr>
        <w:t xml:space="preserve">During the third quarter of 2024, as part of finalizing the purchase accounting of the Adenza acquisition, we implemented a change to the accounting treatment of the revenues associated with AxiomSL on-premises subscription contracts, which are included in the Regulatory Technology business within the Financial Technology segment. Starting in the third quarter of 2024, we began recognizing AxiomSL’s subscription-based revenues on a ratable basis over the contract term. The change reflects new information obtained on the frequent and ongoing mandatory updates to AxiomSL's regulatory reporting software, which are critical to the utility and value of the product for the client. As a result of this change, we recognized a one-time revenue reduction of $32 million in the third quarter of 2024, reflecting the net impact of the accounting change since the date of the Adenza acquisition. </w:t>
      </w:r>
      <w:r>
        <w:rPr>
          <w:rFonts w:ascii="Times New Roman;sans-serif" w:hAnsi="Times New Roman;sans-serif"/>
          <w:b w:val="false"/>
          <w:color w:val="231F20"/>
          <w:sz w:val="20"/>
        </w:rPr>
        <w:t>See Note 4, “Acquisition,” for further discussion on the measurement period adjustment.</w:t>
      </w:r>
    </w:p>
    <w:p>
      <w:pPr>
        <w:pStyle w:val="TextBody"/>
        <w:bidi w:val="0"/>
        <w:spacing w:lineRule="auto" w:line="288" w:before="120" w:after="283"/>
        <w:jc w:val="left"/>
        <w:rPr>
          <w:rFonts w:ascii="Times New Roman;sans-serif" w:hAnsi="Times New Roman;sans-serif"/>
          <w:b/>
          <w:color w:val="231F20"/>
          <w:sz w:val="20"/>
        </w:rPr>
      </w:pPr>
      <w:r>
        <w:rPr>
          <w:rFonts w:ascii="Times New Roman;sans-serif" w:hAnsi="Times New Roman;sans-serif"/>
          <w:b/>
          <w:color w:val="231F20"/>
          <w:sz w:val="20"/>
        </w:rPr>
        <w:t>Contract Balances</w:t>
      </w:r>
    </w:p>
    <w:p>
      <w:pPr>
        <w:pStyle w:val="TextBody"/>
        <w:bidi w:val="0"/>
        <w:spacing w:lineRule="auto" w:line="288" w:before="120" w:after="283"/>
        <w:jc w:val="both"/>
        <w:rPr/>
      </w:pPr>
      <w:r>
        <w:rPr>
          <w:rFonts w:ascii="Times New Roman;sans-serif" w:hAnsi="Times New Roman;sans-serif"/>
          <w:b w:val="false"/>
          <w:color w:val="231F20"/>
          <w:sz w:val="20"/>
        </w:rPr>
        <w:t>S</w:t>
      </w:r>
      <w:r>
        <w:rPr>
          <w:rFonts w:ascii="Times New Roman;sans-serif" w:hAnsi="Times New Roman;sans-serif"/>
          <w:b w:val="false"/>
          <w:color w:val="000000"/>
          <w:sz w:val="20"/>
        </w:rPr>
        <w:t>ubstantially all of our revenues are considered to be revenues from contracts with customers. The related accounts receivable balances are recorded in the Consolidated Balance Sheets as receivables, which are net of allowance for doubtful accounts of $10 million as of December 31, 2024 and $18 million as of December 31, 2023. There were no material upward or downward adjustments to the allowance during the year ended December 31, 2024. We do not have obligations for warranties, returns or refunds to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is the only significant contract asset or liability as of December 31, 2024. Deferred revenue represents consideration received that is yet to be recognized as revenue for unsatisfied performance obligations. See Note 8, “Deferred Revenue,” for our discussion on deferred revenue balances, activity, and expected timing of recognition.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provide disclosures about the transaction price allocated to unsatisfied performance obligations if contract durations are less than one year. For our initial listings, the transaction price allocated to remaining performance obligations is included in deferred revenue, and therefore not included below. For our Financial Crime Management Technology, Regulatory Technology, Capital Markets Technology and Workflow &amp; Insights contracts, the portion of transaction price allocated to unsatisfied performance obligations is presented in the table below. The timing in the table below is based on our best estimates as, for certain contracts, the recognition is primarily dependent upon the completion of customization and any significant modifications made pursuant to existing contracts. To the extent consideration has been received, unsatisfied performance obligations would be included in the table below as well as deferred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of the transaction price allocated to performance obligations that are unsatisfied, for contract durations greater than one year, as of December 31, 2024:</w:t>
      </w:r>
    </w:p>
    <w:tbl>
      <w:tblPr>
        <w:tblW w:w="10085" w:type="dxa"/>
        <w:jc w:val="left"/>
        <w:tblInd w:w="0" w:type="dxa"/>
        <w:tblLayout w:type="fixed"/>
        <w:tblCellMar>
          <w:top w:w="28" w:type="dxa"/>
          <w:left w:w="28" w:type="dxa"/>
          <w:bottom w:w="28" w:type="dxa"/>
          <w:right w:w="28" w:type="dxa"/>
        </w:tblCellMar>
      </w:tblPr>
      <w:tblGrid>
        <w:gridCol w:w="211"/>
        <w:gridCol w:w="186"/>
        <w:gridCol w:w="187"/>
        <w:gridCol w:w="700"/>
        <w:gridCol w:w="1505"/>
        <w:gridCol w:w="390"/>
        <w:gridCol w:w="109"/>
        <w:gridCol w:w="109"/>
        <w:gridCol w:w="109"/>
        <w:gridCol w:w="407"/>
        <w:gridCol w:w="878"/>
        <w:gridCol w:w="229"/>
        <w:gridCol w:w="109"/>
        <w:gridCol w:w="109"/>
        <w:gridCol w:w="109"/>
        <w:gridCol w:w="413"/>
        <w:gridCol w:w="1172"/>
        <w:gridCol w:w="229"/>
        <w:gridCol w:w="109"/>
        <w:gridCol w:w="109"/>
        <w:gridCol w:w="109"/>
        <w:gridCol w:w="367"/>
        <w:gridCol w:w="790"/>
        <w:gridCol w:w="207"/>
        <w:gridCol w:w="109"/>
        <w:gridCol w:w="109"/>
        <w:gridCol w:w="109"/>
        <w:gridCol w:w="196"/>
        <w:gridCol w:w="556"/>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Financial Crime Management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Regulatory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 Markets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Workflow &amp; Insights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2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2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2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2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2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4. ACQUISITION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we entered into a definitive agreement to acquire Adenza, a provider of mission-critical risk management and regulatory software to the financial services industry, for $5.75 billion in cash (subject to customary post-closing adjustments) and a fixed amount of 85.6 million shares of Nasdaq common stock, based on the volume-weighted average price per share over 15 consecutive trading days prior to signing. Nasdaq issued approximately $5.0 billion of debt, and entered into a $600 million term loan, and used the proceeds for the cash portion of the consideration. See “Senior Unsecured Notes” and “2023 Term Loan” in “Financing of the Adenza Acquisition” of Note 9, “Debt Obligations,” for further discussion.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Nasdaq completed the acquisition of Adenza for a total purchase consideration of $9,984 million, which comprises the following: </w:t>
      </w:r>
    </w:p>
    <w:tbl>
      <w:tblPr>
        <w:tblW w:w="8099" w:type="dxa"/>
        <w:jc w:val="left"/>
        <w:tblInd w:w="0" w:type="dxa"/>
        <w:tblLayout w:type="fixed"/>
        <w:tblCellMar>
          <w:top w:w="28" w:type="dxa"/>
          <w:left w:w="28" w:type="dxa"/>
          <w:bottom w:w="28" w:type="dxa"/>
          <w:right w:w="28" w:type="dxa"/>
        </w:tblCellMar>
      </w:tblPr>
      <w:tblGrid>
        <w:gridCol w:w="2123"/>
        <w:gridCol w:w="1867"/>
        <w:gridCol w:w="1874"/>
        <w:gridCol w:w="480"/>
        <w:gridCol w:w="1404"/>
        <w:gridCol w:w="351"/>
      </w:tblGrid>
      <w:tr>
        <w:trPr/>
        <w:tc>
          <w:tcPr>
            <w:tcW w:w="2123"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 except price per share)</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Nasdaq common stock issued</w:t>
            </w:r>
          </w:p>
        </w:tc>
        <w:tc>
          <w:tcPr>
            <w:tcW w:w="1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price per share of Nasdaq common stock on November 1, 2023</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equity portion of the purchase consideration</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closing of the transaction, the 85.6 million shares of Nasdaq common stock were issued to Thoma Bravo, the sole shareholder of Adenza, and represented approximately 15% of the outstanding shares of Nasdaq. For further discussion on the rights of common stockholders refer to “Common Stock” of Note 12, “Nasdaq Stockholders’ Equity.” This acquisition is part of our Financial Technology segment.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26, 2024, Nasdaq announced a secondary public offering of 41.6 million shares of our common stock held by Thoma Bravo, which was offered to the public at $65.30 per share. Nasdaq did not receive any proceeds from this offering of the shares held by Thoma Bravo. Concurrently, Nasdaq entered into a share repurchase agreement with Thoma Bravo and repurchased 1.2 million shares of our common stock from this offering. Nasdaq used cash on hand and borrowings under our commercial paper program to fund the share repurchase amount of $77 million. At the completion of these transactions, Thoma Bravo held 42.8 million shares of Nasdaq common stock, representing approximately 7.4% of the outstanding shares of Nasdaq.</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in the table below represent the preliminary allocation of the purchase price to the acquired intangible assets, the deferred tax liability on the acquired intangible assets and other assets acquired and liabilities assumed based on their preliminary respective estimated fair values on the date of acquisition.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excess purchase price over the net tangible and acquired intangible assets has been recorded as goodwill. The goodwill recognized is attributable primarily to expected synergies and is assigned to our Financial Technology segment.</w:t>
      </w:r>
    </w:p>
    <w:tbl>
      <w:tblPr>
        <w:tblW w:w="5196" w:type="dxa"/>
        <w:jc w:val="left"/>
        <w:tblInd w:w="0" w:type="dxa"/>
        <w:tblLayout w:type="fixed"/>
        <w:tblCellMar>
          <w:top w:w="28" w:type="dxa"/>
          <w:left w:w="28" w:type="dxa"/>
          <w:bottom w:w="28" w:type="dxa"/>
          <w:right w:w="28" w:type="dxa"/>
        </w:tblCellMar>
      </w:tblPr>
      <w:tblGrid>
        <w:gridCol w:w="1526"/>
        <w:gridCol w:w="1338"/>
        <w:gridCol w:w="1351"/>
        <w:gridCol w:w="211"/>
        <w:gridCol w:w="61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 assets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personnel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on acquired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2024, we recorded a purchase accounting adjustment to the estimated purchase price allocation shown above and disclosed as of December 31, 2023. This adjustment relates to the impact of the change from upfront to ratable revenue recognition for AxiomSL on-premises contracts entered into prior to the acquisition date, as described above, and decreased accrued income (which reflects revenue earned but not yet billed and included in receivables above) by $46 million, increased deferred revenue by $56 million and increased goodwill by $77 million, net of a deferred tax asset of $25 million. In the fourth quarter of 2024, we finalized the purchase accounting for this acquisition.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details of acquired intangible assets at the date of acquisition. Acquired intangible assets with finite lives are amortized using the straight-line method. </w:t>
      </w:r>
    </w:p>
    <w:tbl>
      <w:tblPr>
        <w:tblW w:w="7418" w:type="dxa"/>
        <w:jc w:val="left"/>
        <w:tblInd w:w="0" w:type="dxa"/>
        <w:tblLayout w:type="fixed"/>
        <w:tblCellMar>
          <w:top w:w="28" w:type="dxa"/>
          <w:left w:w="28" w:type="dxa"/>
          <w:bottom w:w="28" w:type="dxa"/>
          <w:right w:w="28" w:type="dxa"/>
        </w:tblCellMar>
      </w:tblPr>
      <w:tblGrid>
        <w:gridCol w:w="923"/>
        <w:gridCol w:w="812"/>
        <w:gridCol w:w="815"/>
        <w:gridCol w:w="196"/>
        <w:gridCol w:w="556"/>
        <w:gridCol w:w="256"/>
        <w:gridCol w:w="196"/>
        <w:gridCol w:w="421"/>
        <w:gridCol w:w="256"/>
        <w:gridCol w:w="196"/>
        <w:gridCol w:w="421"/>
        <w:gridCol w:w="256"/>
        <w:gridCol w:w="457"/>
        <w:gridCol w:w="1298"/>
        <w:gridCol w:w="359"/>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Customer </w:t>
            </w:r>
          </w:p>
          <w:p>
            <w:pPr>
              <w:pStyle w:val="TableContents"/>
              <w:bidi w:val="0"/>
              <w:spacing w:lineRule="auto" w:line="240" w:before="0" w:after="0"/>
              <w:jc w:val="center"/>
              <w:rPr>
                <w:rFonts w:ascii="Times New Roman;sans-serif" w:hAnsi="Times New Roman;sans-serif"/>
                <w:b/>
                <w:color w:val="000000"/>
                <w:sz w:val="14"/>
                <w:u w:val="single"/>
              </w:rPr>
            </w:pPr>
            <w:r>
              <w:rPr>
                <w:rFonts w:ascii="Times New Roman;sans-serif" w:hAnsi="Times New Roman;sans-serif"/>
                <w:b/>
                <w:color w:val="000000"/>
                <w:sz w:val="14"/>
                <w:u w:val="single"/>
              </w:rPr>
              <w:t>Relationships</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Technology</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Trade </w:t>
            </w:r>
          </w:p>
          <w:p>
            <w:pPr>
              <w:pStyle w:val="TableContents"/>
              <w:bidi w:val="0"/>
              <w:spacing w:lineRule="auto" w:line="240" w:before="0" w:after="0"/>
              <w:jc w:val="center"/>
              <w:rPr>
                <w:rFonts w:ascii="Times New Roman;sans-serif" w:hAnsi="Times New Roman;sans-serif"/>
                <w:b/>
                <w:color w:val="000000"/>
                <w:sz w:val="14"/>
                <w:u w:val="single"/>
              </w:rPr>
            </w:pPr>
            <w:r>
              <w:rPr>
                <w:rFonts w:ascii="Times New Roman;sans-serif" w:hAnsi="Times New Roman;sans-serif"/>
                <w:b/>
                <w:color w:val="000000"/>
                <w:sz w:val="14"/>
                <w:u w:val="single"/>
              </w:rPr>
              <w:t>Names</w:t>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center"/>
              <w:rPr/>
            </w:pPr>
            <w:r>
              <w:rPr>
                <w:rFonts w:ascii="Times New Roman;sans-serif" w:hAnsi="Times New Roman;sans-serif"/>
                <w:b/>
                <w:color w:val="000000"/>
                <w:sz w:val="14"/>
              </w:rPr>
              <w:t xml:space="preserve">Total Acquired Intangible </w:t>
            </w:r>
            <w:r>
              <w:rPr>
                <w:rFonts w:ascii="Times New Roman;sans-serif" w:hAnsi="Times New Roman;sans-serif"/>
                <w:b/>
                <w:color w:val="000000"/>
                <w:sz w:val="14"/>
                <w:u w:val="single"/>
              </w:rPr>
              <w:t>Assets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value (in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 used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average useful life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years</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years</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years</w:t>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Customer Relationships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represent the contractual relationships with customers. </w:t>
      </w:r>
    </w:p>
    <w:p>
      <w:pPr>
        <w:pStyle w:val="TextBody"/>
        <w:bidi w:val="0"/>
        <w:spacing w:lineRule="auto" w:line="288" w:before="120" w:after="283"/>
        <w:jc w:val="both"/>
        <w:rPr/>
      </w:pPr>
      <w:r>
        <w:rPr>
          <w:rFonts w:ascii="Times New Roman;sans-serif" w:hAnsi="Times New Roman;sans-serif"/>
          <w:b w:val="false"/>
          <w:i/>
          <w:color w:val="000000"/>
          <w:sz w:val="20"/>
          <w:u w:val="single"/>
        </w:rPr>
        <w:t>Methodology</w:t>
      </w:r>
      <w:r>
        <w:rPr>
          <w:color w:val="000000"/>
          <w:u w:val="single"/>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relationships were valued using the income approach, specifically an excess earnings method. The excess earnings method examines the economic returns contributed by the identified tangible and intangible assets of a company, and then isolates the excess return that is attributable to the intangible asset being valued.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Discount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used reflects the amount of risk associated with the hypothetical cash flows for the customer relationships relative to the overall business. In developing a discount rate for the customer relationships, we estimated a weighted-average cost of capital for the overall business and we utilized this rate as an input when discounting the cash flows. The resulting discounted cash flows were then tax-effected at the applicable statutory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discounted tax amortization benefit was added to the fair value of the assets under the assumption that the customer relationships would be amortized for tax purposes over a period of 15 years.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Technology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acquisition of Adenza, we acquired developed technology relating to AxiomSL and Calypso. </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Methodology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developed technology was valued using the income approach, specifically the relief-from-royalty method, which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Discount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used reflects the amount of risk associated with the hypothetical cash flows for the developed technology relative to the overall business as discussed above in “Customer Relationships.”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Trade Names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acquisition of Adenza, we acquired the AxiomSL and Calypso trade names. The trade names are recognized in the industry and carry a reputation for quality. As such, the reputation and positive recognition embodied in the trade names is a valuable asset to Nasdaq.</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Methodology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AxiomSL and Calypso trade names were valued using the income approach, specifically the relief-from-royalty method as discussed above in “Technology.”</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Discount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used reflects the amount of risk associated with the hypothetical cash flows for the trade names relative to the overall business as discussed above in “Customer Relationships.”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Pro Forma Results and Acquisition-Related Costs</w:t>
      </w:r>
    </w:p>
    <w:p>
      <w:pPr>
        <w:pStyle w:val="TextBody"/>
        <w:bidi w:val="0"/>
        <w:spacing w:lineRule="auto" w:line="288" w:before="120" w:after="283"/>
        <w:jc w:val="both"/>
        <w:rPr/>
      </w:pPr>
      <w:r>
        <w:rPr>
          <w:rFonts w:ascii="Times New Roman;sans-serif" w:hAnsi="Times New Roman;sans-serif"/>
          <w:b w:val="false"/>
          <w:color w:val="000000"/>
          <w:sz w:val="20"/>
        </w:rPr>
        <w:t>From the date of acquisition through December 31, 2023, Adenza revenues of $149 million were included in Financial Technology revenues in the Consolidated Statement of Income and Adenza operating income of $55 million was included in our operating income in the Consolidated Statement of Income</w:t>
      </w:r>
      <w:r>
        <w:rPr>
          <w:rFonts w:ascii="Calibri Light;sans-serif" w:hAnsi="Calibri Light;sans-serif"/>
          <w:b w:val="false"/>
          <w:color w:val="000000"/>
          <w:sz w:val="22"/>
        </w:rPr>
        <w: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Acquisition-related costs were expensed as incurred and are included in merger and strategic initiatives expense in the Consolidated Statements of Income.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Supplemental Pro Forma Information (Unaudited)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supplemental pro forma financial information presented below is for illustrative purposes only and is not necessarily indicative of the financial position or results of operations that would have been realized if the acquisition had been completed on the date indicated, does not reflect synergies that might have been achieved, nor is it indicative of future operating results or financial position.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supplemental pro forma financial information presents the combined results of operations as if Adenza had been acquired as of January 1, 2022. The pro forma adjustments are based upon currently available information and certain assumptions we believe are reasonable under the circumstances. These adjustments primarily include a net increase in amortization expense that would have been recognized due to acquired identifiable intangible assets, a net increase to interest expense to reflect the additional borrowings for the financing of the Adenza acquisition net of the interest expense relating to the repayment of Adenza’s historical debt, and the related income tax effects of the adjustments noted above.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financial information for the periods presented is as follows:</w:t>
      </w:r>
    </w:p>
    <w:tbl>
      <w:tblPr>
        <w:tblW w:w="6503" w:type="dxa"/>
        <w:jc w:val="left"/>
        <w:tblInd w:w="0" w:type="dxa"/>
        <w:tblLayout w:type="fixed"/>
        <w:tblCellMar>
          <w:top w:w="28" w:type="dxa"/>
          <w:left w:w="28" w:type="dxa"/>
          <w:bottom w:w="28" w:type="dxa"/>
          <w:right w:w="28" w:type="dxa"/>
        </w:tblCellMar>
      </w:tblPr>
      <w:tblGrid>
        <w:gridCol w:w="1542"/>
        <w:gridCol w:w="1357"/>
        <w:gridCol w:w="1360"/>
        <w:gridCol w:w="211"/>
        <w:gridCol w:w="616"/>
        <w:gridCol w:w="109"/>
        <w:gridCol w:w="109"/>
        <w:gridCol w:w="109"/>
        <w:gridCol w:w="109"/>
        <w:gridCol w:w="211"/>
        <w:gridCol w:w="61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Pro forma revenues less transaction-based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Pro forma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 attributable to Nasdaq</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GOODWILL AND ACQUIRED INTANGIBLE ASSETS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goodwill by business segment during the year ended December 31, 2024:</w:t>
      </w:r>
    </w:p>
    <w:tbl>
      <w:tblPr>
        <w:tblW w:w="4520" w:type="dxa"/>
        <w:jc w:val="left"/>
        <w:tblInd w:w="0" w:type="dxa"/>
        <w:tblLayout w:type="fixed"/>
        <w:tblCellMar>
          <w:top w:w="28" w:type="dxa"/>
          <w:left w:w="28" w:type="dxa"/>
          <w:bottom w:w="28" w:type="dxa"/>
          <w:right w:w="28" w:type="dxa"/>
        </w:tblCellMar>
      </w:tblPr>
      <w:tblGrid>
        <w:gridCol w:w="1244"/>
        <w:gridCol w:w="1093"/>
        <w:gridCol w:w="1097"/>
        <w:gridCol w:w="211"/>
        <w:gridCol w:w="72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Capital Access Platforms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Technology</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Market Services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Total</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There was no impairment of goodwill for the years ended December 31, 2024, 2023 and 2022; however, events such as prolonged economic weakness or unexpected significant declines in operating results of any of our reporting units or businesses may result in goodwill impairment charges in the future. See Note 4, “Acquisition,” for a description of the measurement period adjustment recorded during the third quarter of 2024. </w:t>
      </w:r>
    </w:p>
    <w:p>
      <w:pPr>
        <w:pStyle w:val="TextBody"/>
        <w:bidi w:val="0"/>
        <w:spacing w:lineRule="auto" w:line="288" w:before="120" w:after="283"/>
        <w:jc w:val="left"/>
        <w:rPr/>
      </w:pPr>
      <w:r>
        <w:rPr>
          <w:rFonts w:ascii="Times New Roman;sans-serif" w:hAnsi="Times New Roman;sans-serif"/>
          <w:b/>
          <w:color w:val="000000"/>
          <w:sz w:val="20"/>
        </w:rPr>
        <w:t>Acquired</w:t>
      </w:r>
      <w:r>
        <w:rPr>
          <w:color w:val="000000"/>
        </w:rPr>
        <w:t xml:space="preserve"> </w:t>
      </w:r>
      <w:r>
        <w:rPr>
          <w:rFonts w:ascii="Times New Roman;sans-serif" w:hAnsi="Times New Roman;sans-serif"/>
          <w:b/>
          <w:color w:val="000000"/>
          <w:sz w:val="20"/>
        </w:rPr>
        <w:t>Intangible Assets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our total acquired intangible assets, both finite- and indefinite-lived:</w:t>
      </w:r>
    </w:p>
    <w:tbl>
      <w:tblPr>
        <w:tblW w:w="7252" w:type="dxa"/>
        <w:jc w:val="left"/>
        <w:tblInd w:w="0" w:type="dxa"/>
        <w:tblLayout w:type="fixed"/>
        <w:tblCellMar>
          <w:top w:w="28" w:type="dxa"/>
          <w:left w:w="28" w:type="dxa"/>
          <w:bottom w:w="28" w:type="dxa"/>
          <w:right w:w="28" w:type="dxa"/>
        </w:tblCellMar>
      </w:tblPr>
      <w:tblGrid>
        <w:gridCol w:w="1217"/>
        <w:gridCol w:w="1070"/>
        <w:gridCol w:w="1073"/>
        <w:gridCol w:w="253"/>
        <w:gridCol w:w="831"/>
        <w:gridCol w:w="131"/>
        <w:gridCol w:w="109"/>
        <w:gridCol w:w="109"/>
        <w:gridCol w:w="109"/>
        <w:gridCol w:w="274"/>
        <w:gridCol w:w="800"/>
        <w:gridCol w:w="141"/>
        <w:gridCol w:w="109"/>
        <w:gridCol w:w="109"/>
        <w:gridCol w:w="109"/>
        <w:gridCol w:w="109"/>
        <w:gridCol w:w="109"/>
        <w:gridCol w:w="109"/>
        <w:gridCol w:w="109"/>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Finite-Lived Intangible Assets</w:t>
            </w:r>
          </w:p>
        </w:tc>
        <w:tc>
          <w:tcPr>
            <w:tcW w:w="2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Amount</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amount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Amount</w:t>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Indefinite-Lived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and clearing registrations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impairment of intangible assets for the years ended December 31, 2024, 2023 and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amortization expense for acquired finite-lived intangible assets:</w:t>
      </w:r>
    </w:p>
    <w:tbl>
      <w:tblPr>
        <w:tblW w:w="4962" w:type="dxa"/>
        <w:jc w:val="left"/>
        <w:tblInd w:w="0" w:type="dxa"/>
        <w:tblLayout w:type="fixed"/>
        <w:tblCellMar>
          <w:top w:w="28" w:type="dxa"/>
          <w:left w:w="28" w:type="dxa"/>
          <w:bottom w:w="28" w:type="dxa"/>
          <w:right w:w="28" w:type="dxa"/>
        </w:tblCellMar>
      </w:tblPr>
      <w:tblGrid>
        <w:gridCol w:w="690"/>
        <w:gridCol w:w="606"/>
        <w:gridCol w:w="609"/>
        <w:gridCol w:w="211"/>
        <w:gridCol w:w="466"/>
        <w:gridCol w:w="109"/>
        <w:gridCol w:w="109"/>
        <w:gridCol w:w="109"/>
        <w:gridCol w:w="109"/>
        <w:gridCol w:w="211"/>
        <w:gridCol w:w="466"/>
        <w:gridCol w:w="109"/>
        <w:gridCol w:w="109"/>
        <w:gridCol w:w="109"/>
        <w:gridCol w:w="109"/>
        <w:gridCol w:w="211"/>
        <w:gridCol w:w="46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58" w:type="dxa"/>
            <w:gridSpan w:val="6"/>
            <w:tcBorders/>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58" w:type="dxa"/>
            <w:gridSpan w:val="6"/>
            <w:tcBorders/>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estimated future amortization expense (excluding the impact of foreign currency translation adjustments of $84 million as of December 31, 2024) of acquired finite-lived intangible assets as of December 31, 2024:</w:t>
      </w:r>
    </w:p>
    <w:tbl>
      <w:tblPr>
        <w:tblW w:w="1626" w:type="dxa"/>
        <w:jc w:val="left"/>
        <w:tblInd w:w="0" w:type="dxa"/>
        <w:tblLayout w:type="fixed"/>
        <w:tblCellMar>
          <w:top w:w="28" w:type="dxa"/>
          <w:left w:w="28" w:type="dxa"/>
          <w:bottom w:w="28" w:type="dxa"/>
          <w:right w:w="28" w:type="dxa"/>
        </w:tblCellMar>
      </w:tblPr>
      <w:tblGrid>
        <w:gridCol w:w="234"/>
        <w:gridCol w:w="205"/>
        <w:gridCol w:w="206"/>
        <w:gridCol w:w="211"/>
        <w:gridCol w:w="616"/>
        <w:gridCol w:w="1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details of our investments:</w:t>
      </w:r>
    </w:p>
    <w:tbl>
      <w:tblPr>
        <w:tblW w:w="5155" w:type="dxa"/>
        <w:jc w:val="left"/>
        <w:tblInd w:w="0" w:type="dxa"/>
        <w:tblLayout w:type="fixed"/>
        <w:tblCellMar>
          <w:top w:w="28" w:type="dxa"/>
          <w:left w:w="28" w:type="dxa"/>
          <w:bottom w:w="28" w:type="dxa"/>
          <w:right w:w="28" w:type="dxa"/>
        </w:tblCellMar>
      </w:tblPr>
      <w:tblGrid>
        <w:gridCol w:w="853"/>
        <w:gridCol w:w="749"/>
        <w:gridCol w:w="752"/>
        <w:gridCol w:w="326"/>
        <w:gridCol w:w="720"/>
        <w:gridCol w:w="168"/>
        <w:gridCol w:w="109"/>
        <w:gridCol w:w="109"/>
        <w:gridCol w:w="109"/>
        <w:gridCol w:w="320"/>
        <w:gridCol w:w="707"/>
        <w:gridCol w:w="233"/>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investments</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Financial Investments</w:t>
      </w:r>
    </w:p>
    <w:p>
      <w:pPr>
        <w:pStyle w:val="TextBody"/>
        <w:bidi w:val="0"/>
        <w:spacing w:lineRule="auto" w:line="288" w:before="120" w:after="283"/>
        <w:jc w:val="both"/>
        <w:rPr/>
      </w:pPr>
      <w:r>
        <w:rPr>
          <w:rFonts w:ascii="Times New Roman;sans-serif" w:hAnsi="Times New Roman;sans-serif"/>
          <w:b w:val="false"/>
          <w:color w:val="000000"/>
          <w:sz w:val="20"/>
        </w:rPr>
        <w:t>Financial investments are comprised of trading securities, primarily highly rated European government debt securities, of which $171 million as of December 31, 2024 and $168 million as of December 31, 2023</w:t>
      </w:r>
      <w:r>
        <w:rPr>
          <w:color w:val="231F20"/>
        </w:rPr>
        <w:t xml:space="preserve"> </w:t>
      </w:r>
      <w:r>
        <w:rPr>
          <w:rFonts w:ascii="Times New Roman;sans-serif" w:hAnsi="Times New Roman;sans-serif"/>
          <w:b w:val="false"/>
          <w:color w:val="000000"/>
          <w:sz w:val="20"/>
        </w:rPr>
        <w:t>are assets primarily utilized to meet regulatory capital requirements, mainly for our clearing operations at Nasdaq Clearing.</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Equity Method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our estimated pro-rata share of earnings or losses each reporting period and record any dividends as a reduction in the investment balance. As of December 31, 2024 and 2023, our equity method investments primarily included our 40.0% equity interest in OCC.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our equity method investments are included in other non-current assets in the Consolidated Balance Sheets. No material impairments were recorded for the years ended December 31, 2024, 2023 and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recognized from our equity interest in the earnings and losses of these equity method investments was $16 million, $(7) million and $31 million for the years ended December 31, 2024, 2023 and 2022, respectively.</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Equity Securities </w:t>
      </w:r>
    </w:p>
    <w:p>
      <w:pPr>
        <w:pStyle w:val="TextBody"/>
        <w:bidi w:val="0"/>
        <w:spacing w:lineRule="auto" w:line="288" w:before="120" w:after="283"/>
        <w:jc w:val="both"/>
        <w:rPr/>
      </w:pPr>
      <w:r>
        <w:rPr>
          <w:rFonts w:ascii="Times New Roman;sans-serif" w:hAnsi="Times New Roman;sans-serif"/>
          <w:b w:val="false"/>
          <w:color w:val="000000"/>
          <w:sz w:val="20"/>
        </w:rPr>
        <w:t xml:space="preserve">The carrying amounts of our equity securities are included in other non-current assets in the Consolidated Balance Sheets. We elected the measurement alternative for substantially all of our equity securities as they do not have a readily determinable fair value. No material adjustments were made to the carrying value of our equity securities for the years ended December 31, 2024, 2023 and 2022. As of December 31, 2024 and </w:t>
      </w:r>
      <w:r>
        <w:rPr>
          <w:rFonts w:ascii="Times New Roman;sans-serif" w:hAnsi="Times New Roman;sans-serif"/>
          <w:b w:val="false"/>
          <w:color w:val="231F20"/>
          <w:sz w:val="20"/>
        </w:rPr>
        <w:t>December 31, 2023</w:t>
      </w:r>
      <w:r>
        <w:rPr>
          <w:rFonts w:ascii="Times New Roman;sans-serif" w:hAnsi="Times New Roman;sans-serif"/>
          <w:b w:val="false"/>
          <w:color w:val="000000"/>
          <w:sz w:val="20"/>
        </w:rPr>
        <w:t>, our equity securities primarily represent various strategic minority investments made through our corporate venture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PROPERTY AND EQUIPMENT,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major categories of property and equipment, net:</w:t>
      </w:r>
    </w:p>
    <w:tbl>
      <w:tblPr>
        <w:tblW w:w="8891" w:type="dxa"/>
        <w:jc w:val="left"/>
        <w:tblInd w:w="0" w:type="dxa"/>
        <w:tblLayout w:type="fixed"/>
        <w:tblCellMar>
          <w:top w:w="28" w:type="dxa"/>
          <w:left w:w="28" w:type="dxa"/>
          <w:bottom w:w="28" w:type="dxa"/>
          <w:right w:w="28" w:type="dxa"/>
        </w:tblCellMar>
      </w:tblPr>
      <w:tblGrid>
        <w:gridCol w:w="2207"/>
        <w:gridCol w:w="1936"/>
        <w:gridCol w:w="1947"/>
        <w:gridCol w:w="326"/>
        <w:gridCol w:w="720"/>
        <w:gridCol w:w="168"/>
        <w:gridCol w:w="109"/>
        <w:gridCol w:w="109"/>
        <w:gridCol w:w="109"/>
        <w:gridCol w:w="320"/>
        <w:gridCol w:w="707"/>
        <w:gridCol w:w="233"/>
      </w:tblGrid>
      <w:tr>
        <w:trPr/>
        <w:tc>
          <w:tcPr>
            <w:tcW w:w="220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587" w:type="dxa"/>
            <w:gridSpan w:val="6"/>
            <w:tcBorders/>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 equipment and software</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23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leasehold improvements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and impairment charges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for property and equipment was $125 million for the year ended December 31, 2024, $117 million for the year ended December 31, 2023, and $105 million for the year ended December 31, 2022. These amounts are included in depreciation and amortization expense in the Consolidated Statements of Income.</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pre-tax, non-cash property and equipment asset impairment charges on capitalized software that was retired and accelerated depreciation expense on certain assets as a result of a decrease in their useful life, primarily in relation to our restructuring programs of $37 million in 2024, $12 million in 2023 and $8 million in 2022. These charges are included in restructuring charges in the Consolidated Statements of Income. See Note 20, “Restructuring Charges,” for further discussion. There were no other material impairments of property and equipment recorded in 2024, 2023 and 2022.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2023 and 2022, we did not own any real estate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DEFERRED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represents consideration received that is yet to be recognized as revenue. The changes in our deferred revenue during the year ended December 31, 2024 are reflected in the following table: </w:t>
      </w:r>
    </w:p>
    <w:tbl>
      <w:tblPr>
        <w:tblW w:w="10205" w:type="dxa"/>
        <w:jc w:val="left"/>
        <w:tblInd w:w="0" w:type="dxa"/>
        <w:tblLayout w:type="fixed"/>
        <w:tblCellMar>
          <w:top w:w="28" w:type="dxa"/>
          <w:left w:w="28" w:type="dxa"/>
          <w:bottom w:w="28" w:type="dxa"/>
          <w:right w:w="28" w:type="dxa"/>
        </w:tblCellMar>
      </w:tblPr>
      <w:tblGrid>
        <w:gridCol w:w="955"/>
        <w:gridCol w:w="836"/>
        <w:gridCol w:w="842"/>
        <w:gridCol w:w="499"/>
        <w:gridCol w:w="1104"/>
        <w:gridCol w:w="258"/>
        <w:gridCol w:w="211"/>
        <w:gridCol w:w="466"/>
        <w:gridCol w:w="109"/>
        <w:gridCol w:w="318"/>
        <w:gridCol w:w="816"/>
        <w:gridCol w:w="164"/>
        <w:gridCol w:w="260"/>
        <w:gridCol w:w="445"/>
        <w:gridCol w:w="136"/>
        <w:gridCol w:w="499"/>
        <w:gridCol w:w="1104"/>
        <w:gridCol w:w="258"/>
        <w:gridCol w:w="109"/>
        <w:gridCol w:w="109"/>
        <w:gridCol w:w="109"/>
        <w:gridCol w:w="109"/>
        <w:gridCol w:w="109"/>
        <w:gridCol w:w="109"/>
        <w:gridCol w:w="109"/>
        <w:gridCol w:w="162"/>
      </w:tblGrid>
      <w:tr>
        <w:trPr/>
        <w:tc>
          <w:tcPr>
            <w:tcW w:w="95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3"/>
                <w:u w:val="single"/>
              </w:rPr>
            </w:pPr>
            <w:r>
              <w:rPr>
                <w:rFonts w:ascii="Times New Roman;sans-serif" w:hAnsi="Times New Roman;sans-serif"/>
                <w:b/>
                <w:color w:val="000000"/>
                <w:sz w:val="13"/>
                <w:u w:val="single"/>
              </w:rPr>
              <w:t>Balance at December 31, 2023</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3"/>
                <w:u w:val="single"/>
              </w:rPr>
            </w:pPr>
            <w:r>
              <w:rPr>
                <w:rFonts w:ascii="Times New Roman;sans-serif" w:hAnsi="Times New Roman;sans-serif"/>
                <w:b/>
                <w:color w:val="000000"/>
                <w:sz w:val="13"/>
                <w:u w:val="single"/>
              </w:rPr>
              <w:t>Additions</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u w:val="single"/>
              </w:rPr>
            </w:pPr>
            <w:r>
              <w:rPr>
                <w:rFonts w:ascii="Times New Roman;sans-serif" w:hAnsi="Times New Roman;sans-serif"/>
                <w:b/>
                <w:color w:val="000000"/>
                <w:sz w:val="13"/>
                <w:u w:val="single"/>
              </w:rPr>
              <w:t>Revenue Recognized</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3"/>
                <w:u w:val="single"/>
              </w:rPr>
            </w:pPr>
            <w:r>
              <w:rPr>
                <w:rFonts w:ascii="Times New Roman;sans-serif" w:hAnsi="Times New Roman;sans-serif"/>
                <w:b/>
                <w:color w:val="000000"/>
                <w:sz w:val="13"/>
                <w:u w:val="single"/>
              </w:rPr>
              <w:t>Adjustments</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3"/>
                <w:u w:val="single"/>
              </w:rPr>
            </w:pPr>
            <w:r>
              <w:rPr>
                <w:rFonts w:ascii="Times New Roman;sans-serif" w:hAnsi="Times New Roman;sans-serif"/>
                <w:b/>
                <w:color w:val="000000"/>
                <w:sz w:val="13"/>
                <w:u w:val="single"/>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Capital Access Platforms: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Initial Listings</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Annual Listings</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Workflow &amp; Insights</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Financial Technology:</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Financial Crime Management Technology</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Regulatory Technology</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Capital Markets Technology</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Other</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Total</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above table: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Additions reflect deferred revenue billed in the current period, net of recognition.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Revenue recognized includes revenue recognized during the current period that was included in the beginning balance.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Adjustments primarily reflect foreign currency translation adjustments and the impact of the measurement period adjustment recorded during the third quarter of 2024. See Note 4, “Acquisition,” for a description of the measurement period adjustment.</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Other primarily includes deferred revenue from our non-U.S. listing of additional shares fees and our Index business. These fees are included in our Capital Access Platforms segment.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estimate that our deferred revenue will be recognized in the following years:</w:t>
      </w:r>
    </w:p>
    <w:tbl>
      <w:tblPr>
        <w:tblW w:w="8106" w:type="dxa"/>
        <w:jc w:val="left"/>
        <w:tblInd w:w="0" w:type="dxa"/>
        <w:tblLayout w:type="fixed"/>
        <w:tblCellMar>
          <w:top w:w="28" w:type="dxa"/>
          <w:left w:w="28" w:type="dxa"/>
          <w:bottom w:w="28" w:type="dxa"/>
          <w:right w:w="28" w:type="dxa"/>
        </w:tblCellMar>
      </w:tblPr>
      <w:tblGrid>
        <w:gridCol w:w="1101"/>
        <w:gridCol w:w="969"/>
        <w:gridCol w:w="975"/>
        <w:gridCol w:w="196"/>
        <w:gridCol w:w="421"/>
        <w:gridCol w:w="109"/>
        <w:gridCol w:w="196"/>
        <w:gridCol w:w="331"/>
        <w:gridCol w:w="109"/>
        <w:gridCol w:w="196"/>
        <w:gridCol w:w="331"/>
        <w:gridCol w:w="109"/>
        <w:gridCol w:w="196"/>
        <w:gridCol w:w="241"/>
        <w:gridCol w:w="109"/>
        <w:gridCol w:w="196"/>
        <w:gridCol w:w="241"/>
        <w:gridCol w:w="109"/>
        <w:gridCol w:w="196"/>
        <w:gridCol w:w="241"/>
        <w:gridCol w:w="109"/>
        <w:gridCol w:w="196"/>
        <w:gridCol w:w="421"/>
        <w:gridCol w:w="109"/>
        <w:gridCol w:w="109"/>
        <w:gridCol w:w="109"/>
        <w:gridCol w:w="109"/>
        <w:gridCol w:w="109"/>
        <w:gridCol w:w="109"/>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color w:val="000000"/>
                <w:sz w:val="15"/>
              </w:rPr>
              <w:t xml:space="preserve">Fiscal year </w:t>
            </w:r>
            <w:r>
              <w:rPr>
                <w:rFonts w:ascii="Times New Roman;sans-serif" w:hAnsi="Times New Roman;sans-serif"/>
                <w:b/>
                <w:color w:val="000000"/>
                <w:sz w:val="15"/>
                <w:u w:val="single"/>
              </w:rPr>
              <w:t>ended:</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2025</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2026</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2027</w:t>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2028</w:t>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2029</w:t>
            </w:r>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2030+</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Capital Access Platforms:</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Initial Listings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Listings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&amp; Insights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Financial Technology:</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Crime Management Technology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Regulatory Technology</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Markets Technology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recognition of deferred revenue related to certain contracts represents our best estimates as the recognition is primarily dependent upon the completion of customization and any significant modifications made pursuant to existing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DEBT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carrying amounts of our debt obligations during the year ended December 31, 2024:</w:t>
      </w:r>
    </w:p>
    <w:tbl>
      <w:tblPr>
        <w:tblW w:w="7427" w:type="dxa"/>
        <w:jc w:val="left"/>
        <w:tblInd w:w="0" w:type="dxa"/>
        <w:tblLayout w:type="fixed"/>
        <w:tblCellMar>
          <w:top w:w="28" w:type="dxa"/>
          <w:left w:w="28" w:type="dxa"/>
          <w:bottom w:w="28" w:type="dxa"/>
          <w:right w:w="28" w:type="dxa"/>
        </w:tblCellMar>
      </w:tblPr>
      <w:tblGrid>
        <w:gridCol w:w="835"/>
        <w:gridCol w:w="737"/>
        <w:gridCol w:w="738"/>
        <w:gridCol w:w="250"/>
        <w:gridCol w:w="826"/>
        <w:gridCol w:w="139"/>
        <w:gridCol w:w="109"/>
        <w:gridCol w:w="109"/>
        <w:gridCol w:w="109"/>
        <w:gridCol w:w="196"/>
        <w:gridCol w:w="421"/>
        <w:gridCol w:w="109"/>
        <w:gridCol w:w="109"/>
        <w:gridCol w:w="109"/>
        <w:gridCol w:w="109"/>
        <w:gridCol w:w="196"/>
        <w:gridCol w:w="631"/>
        <w:gridCol w:w="109"/>
        <w:gridCol w:w="109"/>
        <w:gridCol w:w="109"/>
        <w:gridCol w:w="109"/>
        <w:gridCol w:w="272"/>
        <w:gridCol w:w="773"/>
        <w:gridCol w:w="214"/>
      </w:tblGrid>
      <w:tr>
        <w:trPr/>
        <w:tc>
          <w:tcPr>
            <w:tcW w:w="8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3"/>
              </w:rPr>
            </w:pPr>
            <w:r>
              <w:rPr>
                <w:rFonts w:ascii="Times New Roman;sans-serif" w:hAnsi="Times New Roman;sans-serif"/>
                <w:b/>
                <w:color w:val="000000"/>
                <w:sz w:val="13"/>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3"/>
              </w:rPr>
            </w:pPr>
            <w:r>
              <w:rPr>
                <w:rFonts w:ascii="Times New Roman;sans-serif" w:hAnsi="Times New Roman;sans-serif"/>
                <w:b/>
                <w:color w:val="000000"/>
                <w:sz w:val="13"/>
              </w:rPr>
              <w:t>Payments,</w:t>
            </w:r>
          </w:p>
          <w:p>
            <w:pPr>
              <w:pStyle w:val="TableContents"/>
              <w:bidi w:val="0"/>
              <w:spacing w:lineRule="auto" w:line="240" w:before="0" w:after="0"/>
              <w:jc w:val="center"/>
              <w:rPr>
                <w:rFonts w:ascii="Times New Roman;sans-serif" w:hAnsi="Times New Roman;sans-serif"/>
                <w:b/>
                <w:color w:val="000000"/>
                <w:sz w:val="13"/>
              </w:rPr>
            </w:pPr>
            <w:r>
              <w:rPr>
                <w:rFonts w:ascii="Times New Roman;sans-serif" w:hAnsi="Times New Roman;sans-serif"/>
                <w:b/>
                <w:color w:val="000000"/>
                <w:sz w:val="13"/>
              </w:rPr>
              <w:t>Foreign</w:t>
            </w:r>
          </w:p>
          <w:p>
            <w:pPr>
              <w:pStyle w:val="TableContents"/>
              <w:bidi w:val="0"/>
              <w:spacing w:lineRule="auto" w:line="240" w:before="0" w:after="0"/>
              <w:jc w:val="center"/>
              <w:rPr>
                <w:rFonts w:ascii="Times New Roman;sans-serif" w:hAnsi="Times New Roman;sans-serif"/>
                <w:b/>
                <w:color w:val="000000"/>
                <w:sz w:val="13"/>
              </w:rPr>
            </w:pPr>
            <w:r>
              <w:rPr>
                <w:rFonts w:ascii="Times New Roman;sans-serif" w:hAnsi="Times New Roman;sans-serif"/>
                <w:b/>
                <w:color w:val="000000"/>
                <w:sz w:val="13"/>
              </w:rPr>
              <w:t>Currency</w:t>
            </w:r>
          </w:p>
          <w:p>
            <w:pPr>
              <w:pStyle w:val="TableContents"/>
              <w:bidi w:val="0"/>
              <w:spacing w:lineRule="auto" w:line="240" w:before="0" w:after="0"/>
              <w:jc w:val="center"/>
              <w:rPr>
                <w:rFonts w:ascii="Times New Roman;sans-serif" w:hAnsi="Times New Roman;sans-serif"/>
                <w:b/>
                <w:color w:val="000000"/>
                <w:sz w:val="13"/>
              </w:rPr>
            </w:pPr>
            <w:r>
              <w:rPr>
                <w:rFonts w:ascii="Times New Roman;sans-serif" w:hAnsi="Times New Roman;sans-serif"/>
                <w:b/>
                <w:color w:val="000000"/>
                <w:sz w:val="13"/>
              </w:rPr>
              <w:t>Translation</w:t>
            </w:r>
          </w:p>
          <w:p>
            <w:pPr>
              <w:pStyle w:val="TableContents"/>
              <w:bidi w:val="0"/>
              <w:spacing w:lineRule="auto" w:line="240" w:before="0" w:after="0"/>
              <w:jc w:val="center"/>
              <w:rPr>
                <w:rFonts w:ascii="Times New Roman;sans-serif" w:hAnsi="Times New Roman;sans-serif"/>
                <w:b/>
                <w:color w:val="000000"/>
                <w:sz w:val="13"/>
              </w:rPr>
            </w:pPr>
            <w:r>
              <w:rPr>
                <w:rFonts w:ascii="Times New Roman;sans-serif" w:hAnsi="Times New Roman;sans-serif"/>
                <w:b/>
                <w:color w:val="000000"/>
                <w:sz w:val="13"/>
              </w:rPr>
              <w:t>and</w:t>
            </w:r>
          </w:p>
          <w:p>
            <w:pPr>
              <w:pStyle w:val="TableContents"/>
              <w:bidi w:val="0"/>
              <w:spacing w:lineRule="auto" w:line="240" w:before="0" w:after="0"/>
              <w:jc w:val="center"/>
              <w:rPr>
                <w:rFonts w:ascii="Times New Roman;sans-serif" w:hAnsi="Times New Roman;sans-serif"/>
                <w:b/>
                <w:color w:val="000000"/>
                <w:sz w:val="13"/>
              </w:rPr>
            </w:pPr>
            <w:r>
              <w:rPr>
                <w:rFonts w:ascii="Times New Roman;sans-serif" w:hAnsi="Times New Roman;sans-serif"/>
                <w:b/>
                <w:color w:val="000000"/>
                <w:sz w:val="13"/>
              </w:rPr>
              <w:t>Accretion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3"/>
              </w:rPr>
            </w:pPr>
            <w:r>
              <w:rPr>
                <w:rFonts w:ascii="Times New Roman;sans-serif" w:hAnsi="Times New Roman;sans-serif"/>
                <w:b/>
                <w:color w:val="000000"/>
                <w:sz w:val="13"/>
              </w:rPr>
              <w:t>December 31, 2024</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Short-term debt:</w:t>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18"/>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short-term debt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27"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debt - senior unsecured notes: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2026 Notes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2028 Notes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2030 Notes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2031 Notes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2032 Notes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2033 Notes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2034 Notes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2040 Notes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2050 Notes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2052 Notes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2053 Notes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2063 Notes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90"/>
              <w:jc w:val="both"/>
              <w:rPr>
                <w:rFonts w:ascii="Times New Roman;sans-serif" w:hAnsi="Times New Roman;sans-serif"/>
                <w:b w:val="false"/>
                <w:color w:val="000000"/>
                <w:sz w:val="18"/>
              </w:rPr>
            </w:pPr>
            <w:r>
              <w:rPr>
                <w:rFonts w:ascii="Times New Roman;sans-serif" w:hAnsi="Times New Roman;sans-serif"/>
                <w:b w:val="false"/>
                <w:color w:val="000000"/>
                <w:sz w:val="18"/>
              </w:rPr>
              <w:t>2023 Term Loan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 Revolving Credit Facility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1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long-term debt</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obligations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9,480 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“About this Form 10-K” for further details about the aggregate principal amounts issued, coupon rates and maturities of the senior unsecured notes in the table above. Euro Notes are denominated in Euro. Additionally, the 2025 Notes were reclassified to short-term debt as of December 31, 2024, including the balance as of December 31, 2023, for presentation purposes.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Commercial Paper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U.S. dollar commercial paper program is supported by our 2022 Revolving Credit Facility, which provides liquidity support for the repayment of commercial paper issued through this program. See “2022 Revolving Credit Facility” below for further discussion. The effective interest rate of commercial paper issuances fluctuates as short-term interest rates and demand fluctuate. The fluctuation of these rates may impact our interest expense.</w:t>
      </w:r>
    </w:p>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Senior Unsecured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2040 Notes were issued at par. All of our other outstanding senior unsecured notes were issued at a discount. As a result of the discount, the proceeds received from each issuance were less than the aggregate principal amount. As of December 31, 2024, the amounts in the table above reflect the aggregate principal amount, which is net of discount and debt issuance costs, which are being accreted and amortized through interest expense over the life of the applicable notes. The accretion of the discount and amortization of the debt issuance costs was $13 million for the year ended December 31, 2024. Our Euro Notes are adjusted for the impact of foreign currency translation. Our senior unsecured notes are general unsecured obligations which rank equally with all of our existing and future unsubordinated obligations and are not guaranteed by any of our subsidiaries. The senior unsecured notes were issued under indentures that, among other things, limit our ability to consolidate, merge or sell all or substantially all of our assets, create liens, and enter into sale and leaseback transactions. The senior unsecured notes may be redeemed by Nasdaq at any time, subject to a make-whole amount. In the fourth quarter of 2024, we repurchased an aggregate amount of $181 million of outstanding notes, primarily related to the 2025 Notes, 2028 Notes, and 2034 Notes.</w:t>
      </w:r>
    </w:p>
    <w:p>
      <w:pPr>
        <w:pStyle w:val="TextBody"/>
        <w:bidi w:val="0"/>
        <w:spacing w:lineRule="auto" w:line="288" w:before="120" w:after="283"/>
        <w:jc w:val="both"/>
        <w:rPr/>
      </w:pPr>
      <w:r>
        <w:rPr>
          <w:rFonts w:ascii="Times New Roman;sans-serif" w:hAnsi="Times New Roman;sans-serif"/>
          <w:b w:val="false"/>
          <w:color w:val="000000"/>
          <w:sz w:val="20"/>
        </w:rPr>
        <w:t>Upon a change of control triggering event (as defined in the various supplemental indentures governing the applicable notes), the terms require us to repurchase all or part of each holder’s notes for cash equal to 101% of the aggregate principal amount purchased plus accrued and unpaid interest, if</w:t>
      </w:r>
      <w:r>
        <w:rPr>
          <w:color w:val="000000"/>
          <w:shd w:fill="FFFFFF" w:val="clear"/>
        </w:rPr>
        <w:t xml:space="preserve"> </w:t>
      </w:r>
      <w:r>
        <w:rPr>
          <w:rFonts w:ascii="Times New Roman;sans-serif" w:hAnsi="Times New Roman;sans-serif"/>
          <w:b w:val="false"/>
          <w:color w:val="000000"/>
          <w:sz w:val="20"/>
          <w:shd w:fill="FFFFFF" w:val="clear"/>
        </w:rPr>
        <w:t xml:space="preserve">any.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Euro Notes pay interest annually. All other notes pay interest semi-annually. The U.S. dollar senior unsecured notes coupon rates may vary with Nasdaq’s debt rating, to the extent Nasdaq is downgraded below investment grade, up to an upward rate adjustment not to exceed 2%.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Net Investment Hedge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Euro Notes have been designated as a hedge of our net investment in certain foreign subsidiaries to mitigate the foreign exchange risk associated with certain investments in these subsidiaries. Our Euro denominated notes have been designated as a hedge of our net investment in certain foreign subsidiaries to mitigate the foreign exchange risk associated with certain investments in these subsidiaries. Accordingly, the remeasurement of these notes is recorded in accumulated other comprehensive loss in the Consolidated Balance Sheets. For the year ended December 31, 2024, the impact of translation decreased the U.S. dollar value of our Euro denominated notes by $175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Financing of the Adenza Acquisition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Senior Unsecured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Nasdaq issued six series of notes for total proceeds of $5,016 million, net of debt issuance costs of $38 million, with various maturity dates ranging from 2025 to 2063. The net proceeds from these notes were used to finance the majority of the cash consideration due in connection with the Adenza acquisition. For further discussion of the Adenza acquisition, see Note 4, “Acquisition.”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2023 Term Loan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in connection with the financing of the Adenza acquisition, we entered into a term loan credit agreement, or the 2023 Term Loan. The 2023 Term Loan provided us with the ability to borrow up to $600 million to finance a portion of the cash consideration for the Adenza acquisition, for repayment of certain debt of Adenza and its subsidiaries, and to pay fees, costs and expenses related to the transaction. On November 1, 2023, we borrowed $599 million, net of fees, under this term loan towards payment of the cash consideration due in connection with the Adenza acquisition, a portion of which had been repaid in the fourth quarter of 2023. The term loan was fully repaid in 2024.</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2022 Revolving Credit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Nasdaq amended and restated its previously issued $1.25 billion five-year revolving credit facility, with a new maturity date of December 16, 2027. Nasdaq intends to use funds available under the 2022 Revolving Credit Facility for general corporate purposes and to provide liquidity support for the repayment of commercial paper issued through the commercial paper program. Nasdaq is permitted to repay borrowings under our 2022 Revolving Credit Facility at any time in whole or in part, without penalty.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no amounts were outstanding on the 2022 Revolving Credit Facility. The $(3) million balance represents unamortized debt issuance costs which are being amortized through interest expense over the life of the credit facility.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and swingline borrowings bear interest on the principal amount outstanding at a variable interest rate based on either the SOFR (or a successor rate to SOFR), the base rate (as defined in the 2022 Revolving Credit Facility agreement), or other applicable rate with respect to non-dollar borrowings, plus an applicable margin that varies with Nasdaq’s debt rating. We are charged commitment fees of 0.100% to 0.250%, depending on our credit rating, whether or not amounts have been borrowed. These commitment fees are included in interest expense and were not material for the years ended December 31, 2024 and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Revolving Credit Facility contains financial and operating covenants. Financial covenants include a maximum leverage ratio. Operating covenants include, among other things, limitations on Nasdaq’s ability to incur additional indebtedness, grant liens on assets, dispose of assets and make certain restricted payments. The facility also contains customary affirmative covenants, including access to financial statements, notice of defaults and certain other material events, maintenance of properties and insurance, and customary events of default, including cross-defaults to our material indebtedness.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2022 Revolving Credit Facility includes an option for Nasdaq to increase the available aggregate amount by up to $750 million, subject to the consent of the lenders funding the increase and certain other conditions.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Credit Facilities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European subsidiaries have several other credit facilities, which are available in multiple currencies, primarily to support our Nasdaq Clearing operations in Europe, as well as to provide a cash pool credit line. These credit facilities, in aggregate, totaled $174 million as of December 31, 2024 and $191 million as of December 31, 2023 in available liquidity, none of which was utilized. Generally, these facilities each have a one-year term. The amounts borrowed under these various credit facilities bear interest on the principal amount outstanding at a variable interest rate based on a base rate (as defined in the applicable credit agreement), plus an applicable margin. We are charged commitment fees (as defined in the applicable credit agreement), whether or not amounts have been borrowed. These commitment fees are included in interest expense and were not material for the years ended December 31, 2024 and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facilities include customary affirmative and negative operating covenants and events of default.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Debt Covenants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were in compliance with the covenants of all of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RETIREMENT PLANS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Defined Contribution Savings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 401(k) plan, which is a voluntary defined contribution savings plan, for U.S. employees. Employees are immediately eligible to make contributions to the plan and are also eligible for an employer contribution match at an amount equal to 100.0% of the first 6.0% of eligible employee contributions. The following table presents the savings plan expense for the years ended December 31, 2024, 2023 and 2022, which is included in compensation and benefits expense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before="0" w:after="0"/>
        <w:jc w:val="left"/>
        <w:rPr/>
      </w:pPr>
      <w:r>
        <w:rPr/>
      </w:r>
    </w:p>
    <w:tbl>
      <w:tblPr>
        <w:tblW w:w="5052" w:type="dxa"/>
        <w:jc w:val="left"/>
        <w:tblInd w:w="0" w:type="dxa"/>
        <w:tblLayout w:type="fixed"/>
        <w:tblCellMar>
          <w:top w:w="28" w:type="dxa"/>
          <w:left w:w="28" w:type="dxa"/>
          <w:bottom w:w="28" w:type="dxa"/>
          <w:right w:w="28" w:type="dxa"/>
        </w:tblCellMar>
      </w:tblPr>
      <w:tblGrid>
        <w:gridCol w:w="678"/>
        <w:gridCol w:w="597"/>
        <w:gridCol w:w="599"/>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Savings Plan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Pension, SERP and Other Post-Retirement Benefit Plans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we terminated our U.S. pension plan and took steps to wind down the plan and transfer the resulting liability to an insurance company. This process was completed in 2024. These steps included settling all future obligations under our U.S. pension plan through a combination of lump sum payments to eligible, electing participants (completed in 2023) and the transfer of any remaining benefits to a third-party insurance company through a group annuity contract. In connection with the plan termination and partial settlement, a pre-tax charge of $9 million was recorded to compensation and benefits expense in 2023. We finalized the transfer of any remaining benefits during the first quarter of 2024 and recorded an additional settlement pre-tax charge of $23 million to compensation and benefits expense in the Consolidated Statements of Income. This was offset by a $19 million adjustment to Other Comprehensive Income and a $4 million cash settlement.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maintain nonqualified SERPs for certain senior executives and other post-retirement benefit plans for eligible employees in the U.S. Most employees outside the U.S. are covered by local retirement plans or by applicable social laws. Benefits under social laws are generally expensed in the periods in which the costs are incurred.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expense for these plans is included in compensation and benefits expense in the Consolidated Statements of Income:</w:t>
      </w:r>
    </w:p>
    <w:tbl>
      <w:tblPr>
        <w:tblW w:w="5383" w:type="dxa"/>
        <w:jc w:val="left"/>
        <w:tblInd w:w="0" w:type="dxa"/>
        <w:tblLayout w:type="fixed"/>
        <w:tblCellMar>
          <w:top w:w="28" w:type="dxa"/>
          <w:left w:w="28" w:type="dxa"/>
          <w:bottom w:w="28" w:type="dxa"/>
          <w:right w:w="28" w:type="dxa"/>
        </w:tblCellMar>
      </w:tblPr>
      <w:tblGrid>
        <w:gridCol w:w="798"/>
        <w:gridCol w:w="701"/>
        <w:gridCol w:w="706"/>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Retirement Plans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Nonqualified Deferred Compensation Plan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sponsor a nonqualified deferred compensation plan, the Nasdaq, Inc. Deferred Compensation Plan. This plan provides certain eligible employees with the opportunity to defer a portion of their annual salary and bonus up to certain approval limits. All deferrals and associated earnings are our general unsecured obligations and were immaterial for the years ended December 31, 2024, 2023 and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SHARE-BASED COMPENSATION</w:t>
      </w:r>
    </w:p>
    <w:p>
      <w:pPr>
        <w:pStyle w:val="TextBody"/>
        <w:bidi w:val="0"/>
        <w:spacing w:lineRule="auto" w:line="288" w:before="120" w:after="283"/>
        <w:jc w:val="both"/>
        <w:rPr/>
      </w:pPr>
      <w:r>
        <w:rPr>
          <w:rFonts w:ascii="Times New Roman;sans-serif" w:hAnsi="Times New Roman;sans-serif"/>
          <w:b w:val="false"/>
          <w:color w:val="000000"/>
          <w:sz w:val="20"/>
        </w:rPr>
        <w:t>We have a share-based compensation program for employees and non-employee directors. Share-based awards granted under this program include restricted stock (consisting of restricted stock units), PSUs and stock options. For accounting purposes, we consider PSUs to be a form of restricted stock. Generally, annual employee awards are granted on or about April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of each year.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Summary of Share-Based Compensation Expense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share-based compensation expense resulting from equity awards and the 15.0% discount for the ESPP for the years ended December 31, 2024, 2023 and 2022, which is included in compensation and benefits expense in the Consolidated Statements of Income:</w:t>
      </w:r>
    </w:p>
    <w:tbl>
      <w:tblPr>
        <w:tblW w:w="8143" w:type="dxa"/>
        <w:jc w:val="left"/>
        <w:tblInd w:w="0" w:type="dxa"/>
        <w:tblLayout w:type="fixed"/>
        <w:tblCellMar>
          <w:top w:w="28" w:type="dxa"/>
          <w:left w:w="28" w:type="dxa"/>
          <w:bottom w:w="28" w:type="dxa"/>
          <w:right w:w="28" w:type="dxa"/>
        </w:tblCellMar>
      </w:tblPr>
      <w:tblGrid>
        <w:gridCol w:w="1685"/>
        <w:gridCol w:w="1479"/>
        <w:gridCol w:w="148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Common Shares Available Under Our Equity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approximately 22.9 million shares of common stock authorized for future issuance under our Equity Plan.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grant restricted stock to most employees. The grant date fair value of restricted stock awards is based on the closing stock price at the date of grant less the present value of future cash dividends. Restricted stock awards granted to employees below the manager level generally vest 33% on the first anniversary of the grant date, 33% on the second anniversary of the grant date, and the remainder on the third anniversary of the grant date. Restricted stock awards granted to employees at or above the manager level generally vest 33% on the second anniversary of the grant date, 33% on the third anniversary of the grant date, and the remainder on the fourth anniversary of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restricted stock activity for the years ended December 31, 2024, 2023 and 2022:</w:t>
      </w:r>
    </w:p>
    <w:tbl>
      <w:tblPr>
        <w:tblW w:w="7086" w:type="dxa"/>
        <w:jc w:val="left"/>
        <w:tblInd w:w="0" w:type="dxa"/>
        <w:tblLayout w:type="fixed"/>
        <w:tblCellMar>
          <w:top w:w="28" w:type="dxa"/>
          <w:left w:w="28" w:type="dxa"/>
          <w:bottom w:w="28" w:type="dxa"/>
          <w:right w:w="28" w:type="dxa"/>
        </w:tblCellMar>
      </w:tblPr>
      <w:tblGrid>
        <w:gridCol w:w="977"/>
        <w:gridCol w:w="858"/>
        <w:gridCol w:w="864"/>
        <w:gridCol w:w="524"/>
        <w:gridCol w:w="526"/>
        <w:gridCol w:w="401"/>
        <w:gridCol w:w="109"/>
        <w:gridCol w:w="109"/>
        <w:gridCol w:w="109"/>
        <w:gridCol w:w="559"/>
        <w:gridCol w:w="1638"/>
        <w:gridCol w:w="412"/>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Restricted Stock</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Weighted-Average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2021</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4,399,020 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1,785,138 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(1,525,442)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(278,203)</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4,380,513 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1,850,790 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(1,703,252)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(318,752)</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4,209,299 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1,874,976 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(1,614,071)</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(291,337)</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4,178,867 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$128 million of total unrecognized compensation cost related to restricted stock is expected to be recognized over a weighted-average period of 2.1 years.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PSUs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grant three-year PSUs to certain eligible employees. PSUs are based on performance measures that impact the amount of shares that each PSU eligible individual receives, subject to the satisfaction of applicable market performance conditions, with a three-year cumulative performance period that vest at the end of the performance period and which settle in shares of our common stock. Compensation cost is recognized over the three-year performance period, taking into account an estimated forfeiture rate, regardless of whether the market condition is satisfied, provided that the requisite service period has been completed. Performance will be determined by comparing Nasdaq’s TSR to two peer groups, each weighted 50.0%. The first peer group consists of exchange companies, and the second peer group consists of all companies in the S&amp;P 500. Beginning in 2024, we replaced the exchange company peer group with the S&amp;P 500 GICS 4020 Index, which is a blend of exchanges, as well as data, financial technology and banking companies to align more closely with Nasdaq’s diverse business and competitors. Nasdaq’s relative performance ranking against each of these groups will determine the final number of shares delivered to each individual under the program. The award issuance under this program will be between 0.0% and 200.0% of the number of PSUs granted and will be determined by Nasdaq’s overall performance against both peer groups. However, if Nasdaq’s TSR is negative for the three-year performance period, regardless of TSR ranking, the award issuance will not exceed 100.0% of the number of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PSUs granted. We estimate the fair value of PSUs granted under the three-year PSU program using the Monte Carlo simulation model, as these awards contain a market condition.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we also granted PSUs with a two-year performance period to certain eligible executives at the senior vice president level and above. These PSUs are based on performance measures relating to the implementation of certain integration actions in connection with the Adenza acquisition. Achievement of the targets impacts the amount of shares that each PSU eligible individual receives. The PSUs have a two-year performance period and will vest one year after the end of the performance period, and settle in shares of our common stock. The award issuance under this program will be between 0.0% and 200.0% of the number of PSUs granted.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Grants of PSUs that were issued in 2022 with a three-year performance period exceeded the applicable performance metrics. As a result, an additional 32,802 units above the original aggregate target amount will be granted in the first quarter of 2025 and will be fully vested upon issuance.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assumptions were used to determine the weighted-average fair values of the outstanding PSU awards granted under the three-year PSU program during the years ended December 31, 2024 and 2023:</w:t>
      </w:r>
    </w:p>
    <w:tbl>
      <w:tblPr>
        <w:tblW w:w="6032" w:type="dxa"/>
        <w:jc w:val="left"/>
        <w:tblInd w:w="0" w:type="dxa"/>
        <w:tblLayout w:type="fixed"/>
        <w:tblCellMar>
          <w:top w:w="28" w:type="dxa"/>
          <w:left w:w="28" w:type="dxa"/>
          <w:bottom w:w="28" w:type="dxa"/>
          <w:right w:w="28" w:type="dxa"/>
        </w:tblCellMar>
      </w:tblPr>
      <w:tblGrid>
        <w:gridCol w:w="1255"/>
        <w:gridCol w:w="1102"/>
        <w:gridCol w:w="1107"/>
        <w:gridCol w:w="211"/>
        <w:gridCol w:w="616"/>
        <w:gridCol w:w="271"/>
        <w:gridCol w:w="109"/>
        <w:gridCol w:w="109"/>
        <w:gridCol w:w="109"/>
        <w:gridCol w:w="211"/>
        <w:gridCol w:w="616"/>
        <w:gridCol w:w="316"/>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u w:val="single"/>
              </w:rPr>
            </w:pPr>
            <w:r>
              <w:rPr>
                <w:rFonts w:ascii="Times New Roman;sans-serif" w:hAnsi="Times New Roman;sans-serif"/>
                <w:b/>
                <w:color w:val="000000"/>
                <w:sz w:val="14"/>
                <w:u w:val="single"/>
              </w:rPr>
              <w:t>2024 Grants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color w:val="000000"/>
                <w:sz w:val="14"/>
                <w:u w:val="single"/>
              </w:rPr>
            </w:pPr>
            <w:r>
              <w:rPr>
                <w:rFonts w:ascii="Times New Roman;sans-serif" w:hAnsi="Times New Roman;sans-serif"/>
                <w:b/>
                <w:color w:val="000000"/>
                <w:sz w:val="14"/>
                <w:u w:val="single"/>
              </w:rPr>
              <w:t>2023 Grant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risk-free interest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share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 at grant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PSU activity for the years ended December 31, 2024, 2023 and 2022:</w:t>
      </w:r>
    </w:p>
    <w:tbl>
      <w:tblPr>
        <w:tblW w:w="8069" w:type="dxa"/>
        <w:jc w:val="left"/>
        <w:tblInd w:w="0" w:type="dxa"/>
        <w:tblLayout w:type="fixed"/>
        <w:tblCellMar>
          <w:top w:w="28" w:type="dxa"/>
          <w:left w:w="28" w:type="dxa"/>
          <w:bottom w:w="28" w:type="dxa"/>
          <w:right w:w="28" w:type="dxa"/>
        </w:tblCellMar>
      </w:tblPr>
      <w:tblGrid>
        <w:gridCol w:w="977"/>
        <w:gridCol w:w="858"/>
        <w:gridCol w:w="864"/>
        <w:gridCol w:w="109"/>
        <w:gridCol w:w="109"/>
        <w:gridCol w:w="189"/>
        <w:gridCol w:w="189"/>
        <w:gridCol w:w="189"/>
        <w:gridCol w:w="189"/>
        <w:gridCol w:w="524"/>
        <w:gridCol w:w="526"/>
        <w:gridCol w:w="410"/>
        <w:gridCol w:w="109"/>
        <w:gridCol w:w="109"/>
        <w:gridCol w:w="109"/>
        <w:gridCol w:w="559"/>
        <w:gridCol w:w="1638"/>
        <w:gridCol w:w="412"/>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PSUs</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Three-Year Program</w:t>
            </w:r>
          </w:p>
        </w:tc>
        <w:tc>
          <w:tcPr>
            <w:tcW w:w="2936" w:type="dxa"/>
            <w:gridSpan w:val="6"/>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Weighted-Average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2,292,372 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1,495,092 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(1,735,842)</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1,966,542 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1,693,065 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(1,552,311)</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(98,974)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2,008,322 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1,282,300 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(961,331)</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73.14 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(155,140)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2,174,151 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table above, in addition to the annual employee grant described above, the granted amount also includes additional awards granted based on overachievement of performance metrics.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total unrecognized compensation cost related to the PSU program is $65 million and is expected to be recognized over a weighted-average period of 1.5 years.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Stock Options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stock option awards granted for the years ended December 31, 2024 and 2023. In January 2022, our Chief Executive Officer received an aggregate of 613,872 performance-based non-qualified stock options in connection with a new five-year employment agreement. </w:t>
      </w:r>
    </w:p>
    <w:p>
      <w:pPr>
        <w:pStyle w:val="TextBody"/>
        <w:bidi w:val="0"/>
        <w:spacing w:lineRule="auto" w:line="288" w:before="120" w:after="283"/>
        <w:jc w:val="both"/>
        <w:rPr/>
      </w:pPr>
      <w:r>
        <w:rPr>
          <w:rFonts w:ascii="Times New Roman;sans-serif" w:hAnsi="Times New Roman;sans-serif"/>
          <w:b w:val="false"/>
          <w:color w:val="000000"/>
          <w:sz w:val="20"/>
        </w:rPr>
        <w:t xml:space="preserve">There were no stock options exercised for the </w:t>
      </w:r>
      <w:r>
        <w:rPr>
          <w:rFonts w:ascii="Times New Roman;sans-serif" w:hAnsi="Times New Roman;sans-serif"/>
          <w:b w:val="false"/>
          <w:color w:val="231F20"/>
          <w:sz w:val="20"/>
        </w:rPr>
        <w:t>year</w:t>
      </w:r>
      <w:r>
        <w:rPr>
          <w:rFonts w:ascii="Times New Roman;sans-serif" w:hAnsi="Times New Roman;sans-serif"/>
          <w:b w:val="false"/>
          <w:color w:val="000000"/>
          <w:sz w:val="20"/>
        </w:rPr>
        <w:t xml:space="preserve">s ended December 31, 2024, 2023 and 2022.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outstanding and exercisable stock options at December 31, 2024, 2023 and 2022 is as follows:</w:t>
      </w:r>
    </w:p>
    <w:tbl>
      <w:tblPr>
        <w:tblW w:w="7861" w:type="dxa"/>
        <w:jc w:val="left"/>
        <w:tblInd w:w="0" w:type="dxa"/>
        <w:tblLayout w:type="fixed"/>
        <w:tblCellMar>
          <w:top w:w="28" w:type="dxa"/>
          <w:left w:w="28" w:type="dxa"/>
          <w:bottom w:w="28" w:type="dxa"/>
          <w:right w:w="28" w:type="dxa"/>
        </w:tblCellMar>
      </w:tblPr>
      <w:tblGrid>
        <w:gridCol w:w="940"/>
        <w:gridCol w:w="825"/>
        <w:gridCol w:w="830"/>
        <w:gridCol w:w="529"/>
        <w:gridCol w:w="529"/>
        <w:gridCol w:w="532"/>
        <w:gridCol w:w="473"/>
        <w:gridCol w:w="1346"/>
        <w:gridCol w:w="265"/>
        <w:gridCol w:w="275"/>
        <w:gridCol w:w="275"/>
        <w:gridCol w:w="276"/>
        <w:gridCol w:w="220"/>
        <w:gridCol w:w="372"/>
        <w:gridCol w:w="17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Number of Stock </w:t>
            </w:r>
            <w:r>
              <w:rPr>
                <w:rFonts w:ascii="Times New Roman;sans-serif" w:hAnsi="Times New Roman;sans-serif"/>
                <w:b/>
                <w:color w:val="000000"/>
                <w:sz w:val="14"/>
                <w:u w:val="single"/>
              </w:rPr>
              <w:t>Options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Weighted-Average Exercise </w:t>
            </w:r>
            <w:r>
              <w:rPr>
                <w:rFonts w:ascii="Times New Roman;sans-serif" w:hAnsi="Times New Roman;sans-serif"/>
                <w:b/>
                <w:color w:val="000000"/>
                <w:sz w:val="14"/>
                <w:u w:val="single"/>
              </w:rPr>
              <w:t>Price</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Weighted-</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Average</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Remaining</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Contractual</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Term (in</w:t>
            </w:r>
          </w:p>
          <w:p>
            <w:pPr>
              <w:pStyle w:val="TableContents"/>
              <w:bidi w:val="0"/>
              <w:spacing w:lineRule="auto" w:line="240" w:before="0" w:after="0"/>
              <w:jc w:val="center"/>
              <w:rPr>
                <w:rFonts w:ascii="Times New Roman;sans-serif" w:hAnsi="Times New Roman;sans-serif"/>
                <w:b/>
                <w:color w:val="000000"/>
                <w:sz w:val="14"/>
                <w:u w:val="single"/>
              </w:rPr>
            </w:pPr>
            <w:r>
              <w:rPr>
                <w:rFonts w:ascii="Times New Roman;sans-serif" w:hAnsi="Times New Roman;sans-serif"/>
                <w:b/>
                <w:color w:val="000000"/>
                <w:sz w:val="14"/>
                <w:u w:val="single"/>
              </w:rPr>
              <w:t>years)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Aggregate</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Intrinsic</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Value (in</w:t>
            </w:r>
          </w:p>
          <w:p>
            <w:pPr>
              <w:pStyle w:val="TableContents"/>
              <w:bidi w:val="0"/>
              <w:spacing w:lineRule="auto" w:line="240" w:before="0" w:after="0"/>
              <w:ind w:left="0" w:right="0" w:hanging="180"/>
              <w:jc w:val="center"/>
              <w:rPr>
                <w:rFonts w:ascii="Times New Roman;sans-serif" w:hAnsi="Times New Roman;sans-serif"/>
                <w:b/>
                <w:color w:val="000000"/>
                <w:sz w:val="14"/>
                <w:u w:val="single"/>
              </w:rPr>
            </w:pPr>
            <w:r>
              <w:rPr>
                <w:rFonts w:ascii="Times New Roman;sans-serif" w:hAnsi="Times New Roman;sans-serif"/>
                <w:b/>
                <w:color w:val="000000"/>
                <w:sz w:val="14"/>
                <w:u w:val="single"/>
              </w:rPr>
              <w:t>millions)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2021</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806,451 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613,872 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2022</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1,420,323 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1,420,323 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2024</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1,420,323 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at December 31, 2024</w:t>
            </w:r>
          </w:p>
        </w:tc>
        <w:tc>
          <w:tcPr>
            <w:tcW w:w="105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806,451 </w:t>
            </w:r>
          </w:p>
        </w:tc>
        <w:tc>
          <w:tcPr>
            <w:tcW w:w="5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aggregate pre-tax intrinsic value of the outstanding and exercisable stock options in the above table was $50 million and represents the difference between our closing stock price on December 31, 2024 of $77.31 and the exercise price, times the number of shares that would have been received by the option holder had the option holder exercised the stock options on that date. This amount can change based on the fair market value of our common stock. As of December 31, 2024 and 2023, 0.8 million outstanding stock options were exercisable and the exercise price was $22.23.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ESPP</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an ESPP under which approximately 10.7 million shares of our common stock were available for future issuance as of December 31, 2024. Under our ESPP, employees may purchase shares having a value not exceeding 10.0% of their annual compensation, subject to applicable annual Internal Revenue Service limitations. We record compensation expense related to the 15.0% discount that is given to our employees.</w:t>
      </w:r>
    </w:p>
    <w:tbl>
      <w:tblPr>
        <w:tblW w:w="6746" w:type="dxa"/>
        <w:jc w:val="left"/>
        <w:tblInd w:w="0" w:type="dxa"/>
        <w:tblLayout w:type="fixed"/>
        <w:tblCellMar>
          <w:top w:w="28" w:type="dxa"/>
          <w:left w:w="28" w:type="dxa"/>
          <w:bottom w:w="28" w:type="dxa"/>
          <w:right w:w="28" w:type="dxa"/>
        </w:tblCellMar>
      </w:tblPr>
      <w:tblGrid>
        <w:gridCol w:w="1172"/>
        <w:gridCol w:w="1031"/>
        <w:gridCol w:w="1036"/>
        <w:gridCol w:w="211"/>
        <w:gridCol w:w="616"/>
        <w:gridCol w:w="109"/>
        <w:gridCol w:w="109"/>
        <w:gridCol w:w="109"/>
        <w:gridCol w:w="109"/>
        <w:gridCol w:w="211"/>
        <w:gridCol w:w="616"/>
        <w:gridCol w:w="109"/>
        <w:gridCol w:w="109"/>
        <w:gridCol w:w="109"/>
        <w:gridCol w:w="109"/>
        <w:gridCol w:w="211"/>
        <w:gridCol w:w="616"/>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purchased by employees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price of shares purchased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color w:val="000000"/>
          <w:sz w:val="20"/>
        </w:rPr>
        <w:t>12.</w:t>
      </w:r>
      <w:r>
        <w:rPr>
          <w:color w:val="000000"/>
        </w:rPr>
        <w:t xml:space="preserve"> </w:t>
      </w:r>
      <w:r>
        <w:rPr>
          <w:rFonts w:ascii="Times New Roman;sans-serif" w:hAnsi="Times New Roman;sans-serif"/>
          <w:b/>
          <w:color w:val="000000"/>
          <w:sz w:val="20"/>
        </w:rPr>
        <w:t>NASDAQ</w:t>
      </w:r>
      <w:r>
        <w:rPr>
          <w:color w:val="000000"/>
        </w:rPr>
        <w:t xml:space="preserve"> </w:t>
      </w:r>
      <w:r>
        <w:rPr>
          <w:rFonts w:ascii="Times New Roman;sans-serif" w:hAnsi="Times New Roman;sans-serif"/>
          <w:b/>
          <w:color w:val="000000"/>
          <w:sz w:val="20"/>
        </w:rPr>
        <w:t>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900,000,000 shares of our common stock were authorized, 598,920,378 shares were issued and 575,062,217 shares were outstanding. As of December 31, 2023, 900,000,000 shares of our common stock were authorized, 598,014,520 shares were issued and 575,159,336 shares were outstanding. The holders of common stock are entitled to one vote per share, except that our certificate of incorporation limits the ability of any shareholder to vote in excess of 5.0% of the then-outstanding shares of Nasdaq common stock.</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Common Stock in Treasury, at Cost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the purchase of treasury stock under the cost method with the shares of stock repurchased reflected as a reduction to Nasdaq stockholders’ equity and included in common stock in treasury, at cost in the Consolidated Balance Sheets. Shares repurchased under our share repurchase program are currently retired and canceled and are therefore not included in the common stock in treasury balance. If treasury shares are reissued, they are recorded at the average cost of the treasury shares acquired. We held 23,858,161 shares of common stock in treasury as of December 31, 2024 and 22,855,184 shares as of December 31, 2023, most of which are related to shares of our common stock withheld for the settlement of employee tax withholding obligations arising from the vesting of restricted stock and PSUs.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remaining aggregate authorized amount under the existing share repurchase program was $1.7 billion.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repurchases may be made from time to time at prevailing market prices in open market purchases, privately-negotiated transactions, block purchase techniques, an accelerated share repurchase program or otherwise, as determined by our management. The repurchases are primarily funded from existing cash balances. The share repurchase program may be suspended, modified or discontinued at any time, and has no defined expiration date.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share repurchase activity, reported based on settlement date, for the year ended December 31, 2024:</w:t>
      </w:r>
    </w:p>
    <w:tbl>
      <w:tblPr>
        <w:tblW w:w="6173" w:type="dxa"/>
        <w:jc w:val="left"/>
        <w:tblInd w:w="0" w:type="dxa"/>
        <w:tblLayout w:type="fixed"/>
        <w:tblCellMar>
          <w:top w:w="28" w:type="dxa"/>
          <w:left w:w="28" w:type="dxa"/>
          <w:bottom w:w="28" w:type="dxa"/>
          <w:right w:w="28" w:type="dxa"/>
        </w:tblCellMar>
      </w:tblPr>
      <w:tblGrid>
        <w:gridCol w:w="1440"/>
        <w:gridCol w:w="1266"/>
        <w:gridCol w:w="1269"/>
        <w:gridCol w:w="436"/>
        <w:gridCol w:w="1274"/>
        <w:gridCol w:w="225"/>
        <w:gridCol w:w="109"/>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Year Ended December 31,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of common stock repurchased</w:t>
            </w:r>
          </w:p>
        </w:tc>
        <w:tc>
          <w:tcPr>
            <w:tcW w:w="1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2,344,609 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price paid per share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Total purchase price </w:t>
            </w:r>
            <w:r>
              <w:rPr>
                <w:rFonts w:ascii="Times New Roman;sans-serif" w:hAnsi="Times New Roman;sans-serif"/>
                <w:b w:val="false"/>
                <w:color w:val="000000"/>
                <w:sz w:val="18"/>
              </w:rPr>
              <w:t>(in millions)</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the number of shares of common stock repurchased excludes an aggregate of 1,002,977 shares withheld to satisfy tax obligations of the grantee upon the vesting of restricted stock and PSUs, and these repurchases are excluded from our repurchase program. Shares repurchased pursuant to the stock repurchase agreement with Thoma Bravo executed in July 2024 are included in the table above. See Note 4, “Acquisition,” for further discussion.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in “Common Stock in Treasury, at Cost,” shares repurchased under our share repurchase program are currently retired and cancelled.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authorizes the issuance of 30,000,000 shares of preferred stock, par value $0.01 per share, issuable from time to time in one or more series. As of December 31, 2024 and December 31, 2023, no shares of preferred stock were issued or outstanding.</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Cash Dividends on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our board of directors declared and paid the following cash dividends:</w:t>
      </w:r>
    </w:p>
    <w:tbl>
      <w:tblPr>
        <w:tblW w:w="801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255"/>
        <w:gridCol w:w="608"/>
        <w:gridCol w:w="142"/>
        <w:gridCol w:w="109"/>
        <w:gridCol w:w="109"/>
        <w:gridCol w:w="109"/>
        <w:gridCol w:w="509"/>
        <w:gridCol w:w="509"/>
        <w:gridCol w:w="512"/>
        <w:gridCol w:w="109"/>
        <w:gridCol w:w="109"/>
        <w:gridCol w:w="109"/>
        <w:gridCol w:w="332"/>
        <w:gridCol w:w="713"/>
        <w:gridCol w:w="184"/>
        <w:gridCol w:w="109"/>
        <w:gridCol w:w="109"/>
        <w:gridCol w:w="109"/>
        <w:gridCol w:w="459"/>
        <w:gridCol w:w="459"/>
        <w:gridCol w:w="656"/>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Dividend Per</w:t>
              <w:br/>
              <w:t>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Amount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Payment Date</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28, 2024</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28, 2024</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24,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27, 2024</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22,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20, 2024</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amount paid of $541 million was recorded in retained earnings in the Consolidated Balance Sheets at December 31,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2025, the board of directors approved a regular quarterly cash dividend of $0.24 per share on our outstanding common stock. The dividend is payable on March 28, 2025 to shareholders of record at the close of business on March 14, 2025. The estimated aggregate payment of this dividend is $138 million. Future declarations of quarterly dividends and the establishment of future record and payment dates are subject to approval by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maintains a dividend policy with the intention to provide shareholders with regular and increasing dividends as earnings and cash flows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EARNINGS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computation of basic and diluted earnings per share:</w:t>
      </w:r>
    </w:p>
    <w:tbl>
      <w:tblPr>
        <w:tblW w:w="9714" w:type="dxa"/>
        <w:jc w:val="left"/>
        <w:tblInd w:w="0" w:type="dxa"/>
        <w:tblLayout w:type="fixed"/>
        <w:tblCellMar>
          <w:top w:w="28" w:type="dxa"/>
          <w:left w:w="28" w:type="dxa"/>
          <w:bottom w:w="28" w:type="dxa"/>
          <w:right w:w="28" w:type="dxa"/>
        </w:tblCellMar>
      </w:tblPr>
      <w:tblGrid>
        <w:gridCol w:w="2000"/>
        <w:gridCol w:w="1765"/>
        <w:gridCol w:w="1770"/>
        <w:gridCol w:w="273"/>
        <w:gridCol w:w="778"/>
        <w:gridCol w:w="109"/>
        <w:gridCol w:w="109"/>
        <w:gridCol w:w="109"/>
        <w:gridCol w:w="109"/>
        <w:gridCol w:w="268"/>
        <w:gridCol w:w="783"/>
        <w:gridCol w:w="109"/>
        <w:gridCol w:w="109"/>
        <w:gridCol w:w="109"/>
        <w:gridCol w:w="109"/>
        <w:gridCol w:w="273"/>
        <w:gridCol w:w="778"/>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532" w:type="dxa"/>
            <w:gridSpan w:val="6"/>
            <w:tcBorders/>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532" w:type="dxa"/>
            <w:gridSpan w:val="6"/>
            <w:tcBorders/>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2" w:type="dxa"/>
            <w:gridSpan w:val="9"/>
            <w:tcBorders/>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2" w:type="dxa"/>
            <w:gridSpan w:val="9"/>
            <w:tcBorders/>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41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 except share and per share amounts)</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shareholders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for basic earnings per share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575,428,536 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504,909,392 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492,420,787 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effect of dilutive securities - Employee equity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3,760,986 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for diluted earnings per share</w:t>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579,189,522 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508,392,982 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497,857,565 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71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color w:val="000000"/>
                <w:sz w:val="18"/>
              </w:rPr>
            </w:pPr>
            <w:r>
              <w:rPr>
                <w:rFonts w:ascii="Times New Roman;sans-serif" w:hAnsi="Times New Roman;sans-serif"/>
                <w:b/>
                <w:color w:val="000000"/>
                <w:sz w:val="18"/>
              </w:rPr>
              <w:t>Basic and diluted earnings per share:</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2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table above, employee equity awards from our PSU program, which are considered contingently issuable, are included in the computation of dilutive earnings per share on a weighted average basis when management determines that the applicable performance criteria would have been met if the performance period ended as of the date of the relevant computation. </w:t>
      </w:r>
    </w:p>
    <w:p>
      <w:pPr>
        <w:pStyle w:val="TextBody"/>
        <w:bidi w:val="0"/>
        <w:spacing w:lineRule="auto" w:line="288" w:before="120" w:after="6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that were not included in the computation of diluted earnings per share because their effect was antidilutive were immaterial for the years ended 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FAIR VALUE OF FINANCIAL INSTRUMENTS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financial assets and financial liabilities that were measured at fair value on a recurring basis as of December 31, 2024 and 2023.</w:t>
      </w:r>
    </w:p>
    <w:tbl>
      <w:tblPr>
        <w:tblW w:w="9096" w:type="dxa"/>
        <w:jc w:val="left"/>
        <w:tblInd w:w="0" w:type="dxa"/>
        <w:tblLayout w:type="fixed"/>
        <w:tblCellMar>
          <w:top w:w="28" w:type="dxa"/>
          <w:left w:w="28" w:type="dxa"/>
          <w:bottom w:w="28" w:type="dxa"/>
          <w:right w:w="28" w:type="dxa"/>
        </w:tblCellMar>
      </w:tblPr>
      <w:tblGrid>
        <w:gridCol w:w="1471"/>
        <w:gridCol w:w="1293"/>
        <w:gridCol w:w="1301"/>
        <w:gridCol w:w="211"/>
        <w:gridCol w:w="466"/>
        <w:gridCol w:w="109"/>
        <w:gridCol w:w="109"/>
        <w:gridCol w:w="109"/>
        <w:gridCol w:w="109"/>
        <w:gridCol w:w="211"/>
        <w:gridCol w:w="466"/>
        <w:gridCol w:w="109"/>
        <w:gridCol w:w="109"/>
        <w:gridCol w:w="109"/>
        <w:gridCol w:w="109"/>
        <w:gridCol w:w="211"/>
        <w:gridCol w:w="406"/>
        <w:gridCol w:w="109"/>
        <w:gridCol w:w="109"/>
        <w:gridCol w:w="109"/>
        <w:gridCol w:w="109"/>
        <w:gridCol w:w="211"/>
        <w:gridCol w:w="406"/>
        <w:gridCol w:w="109"/>
        <w:gridCol w:w="109"/>
        <w:gridCol w:w="109"/>
        <w:gridCol w:w="109"/>
        <w:gridCol w:w="109"/>
        <w:gridCol w:w="109"/>
        <w:gridCol w:w="109"/>
        <w:gridCol w:w="109"/>
        <w:gridCol w:w="109"/>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120" w:after="180"/>
              <w:jc w:val="left"/>
              <w:rPr>
                <w:color w:val="000000"/>
              </w:rPr>
            </w:pPr>
            <w:r>
              <w:rPr>
                <w:color w:val="000000"/>
              </w:rPr>
              <w:t> </w:t>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120" w:after="180"/>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European government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Swedish mortgage bonds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European government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State-owned enterprises and municipal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Swedish mortgage bonds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Financial Instruments Not Measured at Fair Value on a Recurring Basis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and cash equivalents, receivables, net, certain other current assets, accounts payable and accrued expenses, Section 31 fees payable to SEC, accrued personnel costs, commercial paper and certain other current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certain investments, primarily our investment in OCC, which are accounted for under the equity method of accounting. We have elected the measurement alternative for the majority of our equity securities, which primarily represent various strategic investments made through our corporate venture program. See “Equity Method Investments,” and “Equity Securities,” of Note 6, “Investments,”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consider our debt obligations to be financial instruments. As of December 31, 2024, the majority of our debt obligations were fixed-rate obligations. We are exposed to changes in interest rates as a result of borrowings under our 2022 Revolving Credit Facility, as the interest rates on this facility have a variable rate depending on the maturity of the borrowing and the implied underlying reference rate. We are also exposed to changes in interest rates on amounts outstanding from the sale of commercial paper under our commercial paper program. The fair value of our remaining debt obligations utilizing discounted cash flow analyses for our floating rate debt, and prevailing market rates for our fixed rate debt was $8.8 billion as of December 31, 2024 and $10.0 billion as of December 31, 2023. The discounted cash flow analyses are based on borrowing rates currently available to us for debt with similar terms and maturities. Our commercial paper and our fixed rate and floating rate debt are categorized as Level 2 in the fair value hierarchy.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our debt obligations, see Note 9, “Debt Obligations.”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Non-Financial Assets Measured at Fair Value on a Non-Recurring Basis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non-financial assets, which include goodwill, intangible assets, and other long-lived assets, are not required to be carried at fair value on a recurring basis. Fair value measures of non-financial assets are primarily used in the impairment analysis of these assets. Any resulting asset impairment would require that the non-financial asset be recorded at its fair value. Nasdaq uses Level 3 inputs to measure the fair value of the above assets on a non-recurring basis. As of December 31, 2024 and December 31, 2023, there were no non-financial assets measured at fair value on a non-recurring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CLEARING OPERATIONS</w:t>
      </w:r>
    </w:p>
    <w:p>
      <w:pPr>
        <w:pStyle w:val="TextBody"/>
        <w:bidi w:val="0"/>
        <w:spacing w:lineRule="auto" w:line="288" w:before="120" w:after="283"/>
        <w:jc w:val="left"/>
        <w:rPr/>
      </w:pPr>
      <w:r>
        <w:rPr>
          <w:rFonts w:ascii="Times New Roman;sans-serif" w:hAnsi="Times New Roman;sans-serif"/>
          <w:b/>
          <w:color w:val="000000"/>
          <w:sz w:val="20"/>
        </w:rPr>
        <w:t>Nasdaq</w:t>
      </w:r>
      <w:r>
        <w:rPr>
          <w:color w:val="000000"/>
        </w:rPr>
        <w:t xml:space="preserve"> </w:t>
      </w:r>
      <w:r>
        <w:rPr>
          <w:rFonts w:ascii="Times New Roman;sans-serif" w:hAnsi="Times New Roman;sans-serif"/>
          <w:b/>
          <w:color w:val="000000"/>
          <w:sz w:val="20"/>
        </w:rPr>
        <w:t>Clearing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Clearing is authorized and supervised under EMIR as a multi-asset clearinghouse by the SFSA. Such authorization is effective for all member states of the European Union and certain other non-member states that are part of the European Economic Area, including Norway. The clearinghouse acts as the CCP for exchange and OTC trades in equity derivatives, fixed income derivatives, resale and repurchase contracts, power derivatives, emission allowance derivatives, and seafood derivatives. In January 2025, we entered into an agreement to transfer existing open positions in our Nordic power derivatives trading and clearing business to a European exchange. The completion of this transaction is subject to customary regulatory approvals. See “Market Services” of Note 1, “Organization and Nature of Operations,” for further discussion. Additionally, beginning in January 2025, Nasdaq is no longer offering seafood derivatives clearing.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clearing operations in the financial markets, which include the resale and repurchase market, the commodities markets, and the seafood market, Nasdaq Clearing is the legal counterparty for, and guarantees the fulfillment of, each contract cleared. These contracts are not used by Nasdaq Clearing for the purpose of trading on its own behalf. As the legal counterparty of each transaction, Nasdaq Clearing bears the counterparty risk between the purchaser and seller in the contract. In its guarantor role, Nasdaq Clearing has precisely equal and offsetting claims to and from clearing members on opposite sides of each contract, standing as the CCP on every contract cleared. In accordance with the rules and regulations of Nasdaq Clearing, default fund and margin collateral requirements are calculated for each clearing member’s positions in accounts with the CCP. See “Default Fund Contributions and Margin Deposits” below for further discussion of Nasdaq Clearing’s default fund and margin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Clearing maintains three member sponsored default funds: one related to financial markets, one related to commodities markets and one related to the seafood market. Under this structure, Nasdaq Clearing and its clearing members must contribute to the total regulatory capital related to the clearing operations of Nasdaq Clearing. This structure applies an initial separation of default fund contributions for the financial, commodities and seafood markets in order to create a buffer for each market’s counterparty risks. See “Default Fund Contributions” below for further discussion of Nasdaq Clearing’s default fund. A power of assessment and a liability waterfall have also been implemented to further align risk between Nasdaq Clearing and its clearing members. See “Power of Assessment” and “Liability Waterfall” below for further discussion.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Default Fund Contributions and Margin Deposits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clearing member default fund contributions and margin deposits were as follows:</w:t>
      </w:r>
    </w:p>
    <w:tbl>
      <w:tblPr>
        <w:tblW w:w="6832" w:type="dxa"/>
        <w:jc w:val="left"/>
        <w:tblInd w:w="0" w:type="dxa"/>
        <w:tblLayout w:type="fixed"/>
        <w:tblCellMar>
          <w:top w:w="28" w:type="dxa"/>
          <w:left w:w="28" w:type="dxa"/>
          <w:bottom w:w="28" w:type="dxa"/>
          <w:right w:w="28" w:type="dxa"/>
        </w:tblCellMar>
      </w:tblPr>
      <w:tblGrid>
        <w:gridCol w:w="723"/>
        <w:gridCol w:w="634"/>
        <w:gridCol w:w="638"/>
        <w:gridCol w:w="290"/>
        <w:gridCol w:w="822"/>
        <w:gridCol w:w="163"/>
        <w:gridCol w:w="109"/>
        <w:gridCol w:w="109"/>
        <w:gridCol w:w="109"/>
        <w:gridCol w:w="354"/>
        <w:gridCol w:w="1006"/>
        <w:gridCol w:w="199"/>
        <w:gridCol w:w="109"/>
        <w:gridCol w:w="109"/>
        <w:gridCol w:w="109"/>
        <w:gridCol w:w="265"/>
        <w:gridCol w:w="876"/>
        <w:gridCol w:w="208"/>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Cash Contributions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Non-Cash Contributions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Contributions</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Default fund contributions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Margin deposits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10,887 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total default fund contributions of $1,107 million, Nasdaq Clearing can utilize $1,068 million as capital resources in the event of a counterparty default. The remaining balance of $39 million pertains to member posted surplus balances.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Clearing member cash contributions are maintained in demand deposits held at central banks and large, highly rated financial institutions or secured through direct investments, primarily central bank certificates and highly rated European government debt securities with original maturities primarily one year or less, reverse repurchase agreements and multilateral development bank debt securities. Investments in reverse repurchase agreements range in maturity from 2 to 14 days and are secured with highly rated government securities and multilateral development banks. The carrying value of these securities approximates their fair value due to the short-term nature of the instruments and reverse repurchase agreements.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Clearing has invested the total cash contributions of $5,664 million as of December 31, 2024 and $7,275 million as of December 31, 2023, in accordance with its investment policy as follows:</w:t>
      </w:r>
    </w:p>
    <w:tbl>
      <w:tblPr>
        <w:tblW w:w="6115" w:type="dxa"/>
        <w:jc w:val="left"/>
        <w:tblInd w:w="0" w:type="dxa"/>
        <w:tblLayout w:type="fixed"/>
        <w:tblCellMar>
          <w:top w:w="28" w:type="dxa"/>
          <w:left w:w="28" w:type="dxa"/>
          <w:bottom w:w="28" w:type="dxa"/>
          <w:right w:w="28" w:type="dxa"/>
        </w:tblCellMar>
      </w:tblPr>
      <w:tblGrid>
        <w:gridCol w:w="1200"/>
        <w:gridCol w:w="1053"/>
        <w:gridCol w:w="1061"/>
        <w:gridCol w:w="272"/>
        <w:gridCol w:w="792"/>
        <w:gridCol w:w="151"/>
        <w:gridCol w:w="109"/>
        <w:gridCol w:w="109"/>
        <w:gridCol w:w="109"/>
        <w:gridCol w:w="268"/>
        <w:gridCol w:w="781"/>
        <w:gridCol w:w="210"/>
      </w:tblGrid>
      <w:tr>
        <w:trPr/>
        <w:tc>
          <w:tcPr>
            <w:tcW w:w="1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Demand deposits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Central bank certificates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 and cash equivalents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4,383</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6,645</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European government debt securities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Reverse repurchase agreements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Multilateral development bank debt securities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1,281</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630</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5,664</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7,275</w:t>
            </w: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the change from December 31, 2023 to December 31, 2024 includes currency translation adjustments of $525 million for restricted cash and cash equivalents and $56 million for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investments related to default funds and margin deposits, net includes purchases of investment securities of $33,693 million, $53,657 million and $47,525 million, respectively, and proceeds from sales and redemptions of investment securities of $32,986 million, $53,583 million and $47,736 million,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investment activity related to default fund and margin contributions, we are exposed to counterparty risk related to reverse repurchase agreement transactions, which reflect the risk that the counterparty might become insolvent and, thus, fail to meet its obligations to Nasdaq Clearing. We mitigate this risk by only engaging in transactions with high credit quality reverse repurchase agreement counterparties and by limiting the acceptable collateral under the reverse repurchase agreement to high quality issuers, primarily government securities and other securities explicitly guaranteed by a government. The value of the underlying security is monitored during the lifetime of the contract, and in the event the market value of the underlying security falls below the reverse repurchase amount, our clearinghouse may require additional collateral or a reset of the contract.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Default Fund Contributions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Required contributions to the default funds are proportional to the exposures of each clearing member. When a clearing member is active in more than one market, contributions must be made to all markets’ default funds in which the member is active. Clearing members’ eligible contributions may include cash and non-cash contributions. Cash contributions received are maintained in demand deposits held at central banks and large, highly rated financial institutions or invested by Nasdaq Clearing, in accordance with its investment policy, either in central bank certificates, highly rated government debt securities, reverse repurchase agreements with highly rated government debt securities as collateral, or multilateral development bank debt securities. Nasdaq Clearing maintains and manages all cash deposits related to margin collateral. All risks and rewards of collateral ownership, including interest, belong to Nasdaq Clearing. Clearing members’ cash contributions are included in default funds and margin deposits in the Consolidated Balance Sheets as both a current asset and a current liability.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 These balances may fluctuate over time due to changes in the amount of deposits required and whether members choose to provide cash or non-cash contributions.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clearing members’ required contributions to the liability waterfall, Nasdaq Clearing is also required to contribute capital to the liability waterfall and overall regulatory capital as specified under its clearinghouse rules. As of December 31, 2024, Nasdaq Clearing committed capital totaling $129 million to the liability waterfall and overall regulatory capital, in the form of government debt securities, which are recorded as financial investments in the Consolidated Balance Sheets. The combined regulatory capital of the clearing members and Nasdaq Clearing is intended to secure the obligations of a clearing member exceeding such member’s own margin and default fund deposits and may be used to cover losses sustained by a clearing member in the event of a default.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Margin Deposits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Clearing requires all clearing members to provide collateral, which may consist of cash and non-cash contributions, to guarantee performance on the clearing members’ open positions, or initial margin. In addition, clearing members must also provide collateral to cover the daily margin call if needed. See “Default Fund Contributions” above for further discussion of cash and non-cash contributions.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to default fund contributions, Nasdaq Clearing maintains and manages all cash deposits related to margin collateral. All risks and rewards of collateral ownership, including interest, belong to Nasdaq Clearing and are recorded in revenues. These cash deposits are recorded in default funds and margin deposits in the Consolidated Balance Sheets as both a current asset and a current liability. Pledged margin collateral is not recorded in the Consolidated Balance Sheets as all risks and rewards of collateral ownership, including interest, belong to the counterparty.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Clearing marks to market all outstanding contracts and requires payment from clearing members whose positions have lost value. The mark-to-market process helps identify any clearing members that may not be able to satisfy their financial obligations in a timely manner allowing Nasdaq Clearing the ability to mitigate the risk of a clearing member defaulting due to exceptionally large losses. In the event of a default, Nasdaq Clearing can access the defaulting member’s margin and default fund deposits to cover the defaulting member’s losses.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Regulatory Capital and Risk Management Calculations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Clearing manages risk through a comprehensive counterparty risk management framework, which comprises policies, procedures, standards and financial resources. The level of regulatory capital is determined in accordance with Nasdaq Clearing’s regulatory capital and default fund policy, as approved by the SFSA. Regulatory capital calculations are continuously updated through a proprietary capital-at-risk calculation model that establishes the appropriate level of capital.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mentioned above, Nasdaq Clearing is the legal counterparty for each contract cleared and thereby guarantees the fulfillment of each contract. Nasdaq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excluding any liability related to the Nasdaq commodities clearing default (see discussion above), the estimated liability was nominal and no liability was recorded as of December 31, 2024.</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Power of Assessment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further strengthen the contingent financial resources of the clearinghouse, Nasdaq Clearing has power of assessment that provides the ability to collect additional funds from its clearing members to cover a defaulting member’s remaining obligations up to the limits established under the terms of the clearinghouse rules. The power of assessment corresponds to 230% of the clearing member’s aggregate contribution to the financial, commodities and seafood markets’ default funds.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Liability Waterfall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liability waterfall is the priority order in which the capital resources would be utilized in the event of a default where the defaulting clearing member’s collateral and default fund contribution would not be sufficient to cover the cost to settle its portfolio. If a default occurs and the defaulting clearing member’s collateral, including cash deposits and pledged assets, is depleted, then capital is utilized in the following amount and order:</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junior capital contributed by Nasdaq Clearing, which totaled $40 million as of December 31, 2024;</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a loss-sharing pool related only to the financial market that is contributed to by clearing members and only applies if the defaulting member’s portfolio includes interest rate swap products;</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specific market default fund where the loss occurred (i.e., the financial, commodities, or seafood market), which includes capital contributions of the clearing members on a pro-rata basis;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fully segregated senior capital for each specific market contributed by Nasdaq Clearing, calculated in accordance with clearinghouse rules, which totaled $19 million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additional funds are needed after utilization of the liability waterfall, or if part of the waterfall has been utilized and needs to be replenished, then Nasdaq Clearing will utilize its power of assessment and additional capital contributions will be required by non-defaulting members up to the limits established under the terms of the clearinghouse rules.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capital held to withstand counterparty defaults described above, Nasdaq Clearing also has committed capital of $70 million to ensure that it can handle an orderly wind-down of its operation, and that it is adequately protected against investment, operational, legal, and business risks.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Market Value of Derivative Contracts Outstanding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market value of derivative contracts outstanding prior to netting:</w:t>
      </w:r>
    </w:p>
    <w:tbl>
      <w:tblPr>
        <w:tblW w:w="5760" w:type="dxa"/>
        <w:jc w:val="left"/>
        <w:tblInd w:w="0" w:type="dxa"/>
        <w:tblLayout w:type="fixed"/>
        <w:tblCellMar>
          <w:top w:w="28" w:type="dxa"/>
          <w:left w:w="28" w:type="dxa"/>
          <w:bottom w:w="28" w:type="dxa"/>
          <w:right w:w="28" w:type="dxa"/>
        </w:tblCellMar>
      </w:tblPr>
      <w:tblGrid>
        <w:gridCol w:w="1630"/>
        <w:gridCol w:w="1433"/>
        <w:gridCol w:w="1437"/>
        <w:gridCol w:w="320"/>
        <w:gridCol w:w="707"/>
        <w:gridCol w:w="233"/>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and seafood options, futures and forwards</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Fixed-income options and futures</w:t>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futures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options and futures</w:t>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table above: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We determined the fair value of our option contracts using standard valuation models that were based on market-based observable inputs including implied volatility, interest rates and the spot price of the underlying instrument.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We determined the fair value of our futures contracts based upon quoted market prices and average quoted market yields.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We determined the fair value of our forward contracts using standard valuation models that were based on market-based observable inputs including benchmark rates and the spot price of the underlying instrument.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Derivative Contracts Cleared</w:t>
      </w:r>
    </w:p>
    <w:p>
      <w:pPr>
        <w:pStyle w:val="TextBody"/>
        <w:bidi w:val="0"/>
        <w:spacing w:lineRule="auto" w:line="288" w:before="120" w:after="283"/>
        <w:jc w:val="both"/>
        <w:rPr/>
      </w:pPr>
      <w:r>
        <w:rPr>
          <w:rFonts w:ascii="Times New Roman;sans-serif" w:hAnsi="Times New Roman;sans-serif"/>
          <w:b w:val="false"/>
          <w:color w:val="000000"/>
          <w:sz w:val="20"/>
        </w:rPr>
        <w:t>The following table presents the total number of derivative contracts cleared through Nasdaq Clearing for the</w:t>
      </w:r>
      <w:r>
        <w:rPr>
          <w:color w:val="231F20"/>
        </w:rPr>
        <w:t xml:space="preserve"> </w:t>
      </w:r>
      <w:r>
        <w:rPr>
          <w:rFonts w:ascii="Times New Roman;sans-serif" w:hAnsi="Times New Roman;sans-serif"/>
          <w:b w:val="false"/>
          <w:color w:val="231F20"/>
          <w:sz w:val="20"/>
        </w:rPr>
        <w:t>year</w:t>
      </w:r>
      <w:r>
        <w:rPr>
          <w:rFonts w:ascii="Times New Roman;sans-serif" w:hAnsi="Times New Roman;sans-serif"/>
          <w:b w:val="false"/>
          <w:color w:val="000000"/>
          <w:sz w:val="20"/>
        </w:rPr>
        <w:t>s ended December 31, 2024 and 2023:</w:t>
      </w:r>
    </w:p>
    <w:tbl>
      <w:tblPr>
        <w:tblW w:w="7609" w:type="dxa"/>
        <w:jc w:val="left"/>
        <w:tblInd w:w="0" w:type="dxa"/>
        <w:tblLayout w:type="fixed"/>
        <w:tblCellMar>
          <w:top w:w="28" w:type="dxa"/>
          <w:left w:w="28" w:type="dxa"/>
          <w:bottom w:w="28" w:type="dxa"/>
          <w:right w:w="28" w:type="dxa"/>
        </w:tblCellMar>
      </w:tblPr>
      <w:tblGrid>
        <w:gridCol w:w="1630"/>
        <w:gridCol w:w="1433"/>
        <w:gridCol w:w="1437"/>
        <w:gridCol w:w="636"/>
        <w:gridCol w:w="445"/>
        <w:gridCol w:w="175"/>
        <w:gridCol w:w="175"/>
        <w:gridCol w:w="175"/>
        <w:gridCol w:w="175"/>
        <w:gridCol w:w="540"/>
        <w:gridCol w:w="541"/>
        <w:gridCol w:w="247"/>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and seafood options, futures and forwards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234,622 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233,194 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Fixed-income options and futures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18,830,460 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19,175,402 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futures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23,530,035 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20,728,290 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options and futures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35,069,931 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40,009,367 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77,665,048 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80,146,253 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the total volume in cleared power related to commodity contracts was 160 Terawatt hours (TWh) and 422 TWh for the years ended December 31, 2024 and 2023, respectively.</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Resale and Repurchase Agreements Contracts Outstanding and Cleared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contract value of resale and repurchase agreements was $200 million and $580 million as of December 31, 2024 and 2023, respectively. The total number of resale and repurchase agreements contracts cleared was 4,929,765 and 4,669,740 for the years ended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LEASES</w:t>
      </w:r>
    </w:p>
    <w:p>
      <w:pPr>
        <w:pStyle w:val="TextBody"/>
        <w:bidi w:val="0"/>
        <w:spacing w:lineRule="auto" w:line="288" w:before="120" w:after="283"/>
        <w:jc w:val="both"/>
        <w:rPr/>
      </w:pPr>
      <w:r>
        <w:rPr>
          <w:rFonts w:ascii="Times New Roman;sans-serif" w:hAnsi="Times New Roman;sans-serif"/>
          <w:b w:val="false"/>
          <w:color w:val="111111"/>
          <w:sz w:val="20"/>
        </w:rPr>
        <w:t>We have operating leases, which are primarily real estate leases, predominantly for our U.S. and European headquarters, data centers and for general office space. The following table provides supplemental balance sheet information related to Nasdaq</w:t>
      </w:r>
      <w:r>
        <w:rPr>
          <w:color w:val="000000"/>
        </w:rPr>
        <w:t>’</w:t>
      </w:r>
      <w:r>
        <w:rPr>
          <w:rFonts w:ascii="Times New Roman;sans-serif" w:hAnsi="Times New Roman;sans-serif"/>
          <w:b w:val="false"/>
          <w:color w:val="111111"/>
          <w:sz w:val="20"/>
        </w:rPr>
        <w:t>s operating leases:</w:t>
      </w:r>
    </w:p>
    <w:tbl>
      <w:tblPr>
        <w:tblW w:w="8014" w:type="dxa"/>
        <w:jc w:val="left"/>
        <w:tblInd w:w="0" w:type="dxa"/>
        <w:tblLayout w:type="fixed"/>
        <w:tblCellMar>
          <w:top w:w="28" w:type="dxa"/>
          <w:left w:w="28" w:type="dxa"/>
          <w:bottom w:w="28" w:type="dxa"/>
          <w:right w:w="28" w:type="dxa"/>
        </w:tblCellMar>
      </w:tblPr>
      <w:tblGrid>
        <w:gridCol w:w="850"/>
        <w:gridCol w:w="749"/>
        <w:gridCol w:w="771"/>
        <w:gridCol w:w="109"/>
        <w:gridCol w:w="109"/>
        <w:gridCol w:w="109"/>
        <w:gridCol w:w="729"/>
        <w:gridCol w:w="729"/>
        <w:gridCol w:w="731"/>
        <w:gridCol w:w="109"/>
        <w:gridCol w:w="109"/>
        <w:gridCol w:w="109"/>
        <w:gridCol w:w="326"/>
        <w:gridCol w:w="720"/>
        <w:gridCol w:w="168"/>
        <w:gridCol w:w="109"/>
        <w:gridCol w:w="109"/>
        <w:gridCol w:w="109"/>
        <w:gridCol w:w="320"/>
        <w:gridCol w:w="707"/>
        <w:gridCol w:w="233"/>
      </w:tblGrid>
      <w:tr>
        <w:trPr/>
        <w:tc>
          <w:tcPr>
            <w:tcW w:w="85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3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3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Nasdaq’s lease cost: </w:t>
      </w:r>
    </w:p>
    <w:tbl>
      <w:tblPr>
        <w:tblW w:w="5248" w:type="dxa"/>
        <w:jc w:val="left"/>
        <w:tblInd w:w="0" w:type="dxa"/>
        <w:tblLayout w:type="fixed"/>
        <w:tblCellMar>
          <w:top w:w="28" w:type="dxa"/>
          <w:left w:w="28" w:type="dxa"/>
          <w:bottom w:w="28" w:type="dxa"/>
          <w:right w:w="28" w:type="dxa"/>
        </w:tblCellMar>
      </w:tblPr>
      <w:tblGrid>
        <w:gridCol w:w="635"/>
        <w:gridCol w:w="558"/>
        <w:gridCol w:w="562"/>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operating lease costs include short-term lease cost, which was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we initiated a review of our real estate and facility capacity requirements due to our new and evolving work models. As a result of this ongoing review, for the year ended December 31, 2023, we recorded impairment charges of $23 million, of which $13 million related to operating lease asset impairment and is included in operating lease cost in the table above, $5 million related to exit costs and is included in variable lease cost in the table above and $5 million related to impairment of leasehold improvements, which are recorded in depreciation and amortization expense in the Consolidated Statements of Income. We fully impaired our lease assets for locations that we vacated with no intention to sublease. Substantially all of the property, equipment and leasehold improvements associated with the vacated leased office space were fully impaired as there are no expected future cash flows for these items. </w:t>
      </w:r>
    </w:p>
    <w:p>
      <w:pPr>
        <w:pStyle w:val="TextBody"/>
        <w:bidi w:val="0"/>
        <w:spacing w:lineRule="auto" w:line="288" w:before="180" w:after="283"/>
        <w:jc w:val="both"/>
        <w:rPr/>
      </w:pPr>
      <w:r>
        <w:rPr>
          <w:rFonts w:ascii="Times New Roman;sans-serif" w:hAnsi="Times New Roman;sans-serif"/>
          <w:b w:val="false"/>
          <w:color w:val="231F20"/>
          <w:sz w:val="20"/>
        </w:rPr>
        <w:t xml:space="preserve">The following table reconciles the undiscounted cash flows for the following </w:t>
      </w:r>
      <w:r>
        <w:rPr>
          <w:rFonts w:ascii="Times New Roman;sans-serif" w:hAnsi="Times New Roman;sans-serif"/>
          <w:b w:val="false"/>
          <w:color w:val="000000"/>
          <w:sz w:val="20"/>
        </w:rPr>
        <w:t>years and total of the remaining years to the operating lease liabilities recorded in the Consolidated Balance Sheets.</w:t>
      </w:r>
    </w:p>
    <w:tbl>
      <w:tblPr>
        <w:tblW w:w="4271" w:type="dxa"/>
        <w:jc w:val="left"/>
        <w:tblInd w:w="0" w:type="dxa"/>
        <w:tblLayout w:type="fixed"/>
        <w:tblCellMar>
          <w:top w:w="28" w:type="dxa"/>
          <w:left w:w="28" w:type="dxa"/>
          <w:bottom w:w="28" w:type="dxa"/>
          <w:right w:w="28" w:type="dxa"/>
        </w:tblCellMar>
      </w:tblPr>
      <w:tblGrid>
        <w:gridCol w:w="971"/>
        <w:gridCol w:w="852"/>
        <w:gridCol w:w="861"/>
        <w:gridCol w:w="109"/>
        <w:gridCol w:w="109"/>
        <w:gridCol w:w="109"/>
        <w:gridCol w:w="320"/>
        <w:gridCol w:w="707"/>
        <w:gridCol w:w="233"/>
      </w:tblGrid>
      <w:tr>
        <w:trPr/>
        <w:tc>
          <w:tcPr>
            <w:tcW w:w="97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interest is calculated using the interest rate for each lease. Present value of lease liabilities includes the current portion of $55 million.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Total lease payments in the table above excludes $83 million of legally binding minimum lease payments for leases signed but not yet commenced. This primarily relates to a new lease signed in the first quarter of 2024 for our European headquarters. This lease will commence in 2025 with a lease term of 10 years. These payments also include a data center lease for which we have not yet obtained full control of the leased premises.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related to Nasdaq’s lease term and discount rate:</w:t>
      </w:r>
    </w:p>
    <w:tbl>
      <w:tblPr>
        <w:tblW w:w="5710"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255"/>
        <w:gridCol w:w="255"/>
        <w:gridCol w:w="749"/>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7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cash flow information related to Nasdaq’s operating leases:</w:t>
      </w:r>
    </w:p>
    <w:tbl>
      <w:tblPr>
        <w:tblW w:w="9477" w:type="dxa"/>
        <w:jc w:val="left"/>
        <w:tblInd w:w="0" w:type="dxa"/>
        <w:tblLayout w:type="fixed"/>
        <w:tblCellMar>
          <w:top w:w="28" w:type="dxa"/>
          <w:left w:w="28" w:type="dxa"/>
          <w:bottom w:w="28" w:type="dxa"/>
          <w:right w:w="28" w:type="dxa"/>
        </w:tblCellMar>
      </w:tblPr>
      <w:tblGrid>
        <w:gridCol w:w="2404"/>
        <w:gridCol w:w="2107"/>
        <w:gridCol w:w="2119"/>
        <w:gridCol w:w="211"/>
        <w:gridCol w:w="361"/>
        <w:gridCol w:w="109"/>
        <w:gridCol w:w="109"/>
        <w:gridCol w:w="109"/>
        <w:gridCol w:w="109"/>
        <w:gridCol w:w="211"/>
        <w:gridCol w:w="361"/>
        <w:gridCol w:w="109"/>
        <w:gridCol w:w="109"/>
        <w:gridCol w:w="109"/>
        <w:gridCol w:w="109"/>
        <w:gridCol w:w="211"/>
        <w:gridCol w:w="466"/>
        <w:gridCol w:w="154"/>
      </w:tblGrid>
      <w:tr>
        <w:trPr/>
        <w:tc>
          <w:tcPr>
            <w:tcW w:w="24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in exchange for operating lease liabilities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17. INCOME TAXES</w:t>
      </w:r>
    </w:p>
    <w:p>
      <w:pPr>
        <w:pStyle w:val="TextBody"/>
        <w:bidi w:val="0"/>
        <w:spacing w:lineRule="auto" w:line="288" w:before="120" w:after="283"/>
        <w:jc w:val="both"/>
        <w:rPr/>
      </w:pPr>
      <w:r>
        <w:rPr>
          <w:rFonts w:ascii="Times New Roman;sans-serif" w:hAnsi="Times New Roman;sans-serif"/>
          <w:b/>
          <w:color w:val="000000"/>
          <w:sz w:val="20"/>
        </w:rPr>
        <w:t>Income</w:t>
      </w:r>
      <w:r>
        <w:rPr>
          <w:color w:val="000000"/>
        </w:rPr>
        <w:t xml:space="preserve"> </w:t>
      </w:r>
      <w:r>
        <w:rPr>
          <w:rFonts w:ascii="Times New Roman;sans-serif" w:hAnsi="Times New Roman;sans-serif"/>
          <w:b/>
          <w:color w:val="000000"/>
          <w:sz w:val="20"/>
        </w:rPr>
        <w:t>Before Income Tax Provision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domestic and foreign components of income before income tax provision:</w:t>
      </w:r>
    </w:p>
    <w:tbl>
      <w:tblPr>
        <w:tblW w:w="6552" w:type="dxa"/>
        <w:jc w:val="left"/>
        <w:tblInd w:w="0" w:type="dxa"/>
        <w:tblLayout w:type="fixed"/>
        <w:tblCellMar>
          <w:top w:w="28" w:type="dxa"/>
          <w:left w:w="28" w:type="dxa"/>
          <w:bottom w:w="28" w:type="dxa"/>
          <w:right w:w="28" w:type="dxa"/>
        </w:tblCellMar>
      </w:tblPr>
      <w:tblGrid>
        <w:gridCol w:w="1102"/>
        <w:gridCol w:w="966"/>
        <w:gridCol w:w="977"/>
        <w:gridCol w:w="211"/>
        <w:gridCol w:w="616"/>
        <w:gridCol w:w="109"/>
        <w:gridCol w:w="109"/>
        <w:gridCol w:w="109"/>
        <w:gridCol w:w="109"/>
        <w:gridCol w:w="211"/>
        <w:gridCol w:w="616"/>
        <w:gridCol w:w="109"/>
        <w:gridCol w:w="109"/>
        <w:gridCol w:w="109"/>
        <w:gridCol w:w="109"/>
        <w:gridCol w:w="211"/>
        <w:gridCol w:w="61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Income Tax Provision</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consists of the following amounts:</w:t>
      </w:r>
    </w:p>
    <w:tbl>
      <w:tblPr>
        <w:tblW w:w="6987" w:type="dxa"/>
        <w:jc w:val="left"/>
        <w:tblInd w:w="0" w:type="dxa"/>
        <w:tblLayout w:type="fixed"/>
        <w:tblCellMar>
          <w:top w:w="28" w:type="dxa"/>
          <w:left w:w="28" w:type="dxa"/>
          <w:bottom w:w="28" w:type="dxa"/>
          <w:right w:w="28" w:type="dxa"/>
        </w:tblCellMar>
      </w:tblPr>
      <w:tblGrid>
        <w:gridCol w:w="1424"/>
        <w:gridCol w:w="1248"/>
        <w:gridCol w:w="1258"/>
        <w:gridCol w:w="211"/>
        <w:gridCol w:w="466"/>
        <w:gridCol w:w="109"/>
        <w:gridCol w:w="109"/>
        <w:gridCol w:w="109"/>
        <w:gridCol w:w="109"/>
        <w:gridCol w:w="211"/>
        <w:gridCol w:w="466"/>
        <w:gridCol w:w="109"/>
        <w:gridCol w:w="109"/>
        <w:gridCol w:w="109"/>
        <w:gridCol w:w="109"/>
        <w:gridCol w:w="211"/>
        <w:gridCol w:w="466"/>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taxes provision:</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taxes provision</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provision (benefit):</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taxes (benefit) provision</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that undistributed earnings of certain non-U.S. subsidiaries are not considered indefinitely reinvested and would not give rise to a material tax liability when remitted. Nasdaq continues to indefinitely reinvest all other outside basis differences to the extent reversal would incur a significant tax liability. A determination of an unrecognized deferred tax liability related to such outside basis differences is not practicable.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income tax provision, based on the U.S. federal statutory rate, to our actual income tax provision for the years ended December 31, 2024, 2023 and 2022 is as follows:</w:t>
      </w:r>
    </w:p>
    <w:tbl>
      <w:tblPr>
        <w:tblW w:w="8535" w:type="dxa"/>
        <w:jc w:val="left"/>
        <w:tblInd w:w="0" w:type="dxa"/>
        <w:tblLayout w:type="fixed"/>
        <w:tblCellMar>
          <w:top w:w="28" w:type="dxa"/>
          <w:left w:w="28" w:type="dxa"/>
          <w:bottom w:w="28" w:type="dxa"/>
          <w:right w:w="28" w:type="dxa"/>
        </w:tblCellMar>
      </w:tblPr>
      <w:tblGrid>
        <w:gridCol w:w="1987"/>
        <w:gridCol w:w="1748"/>
        <w:gridCol w:w="1755"/>
        <w:gridCol w:w="255"/>
        <w:gridCol w:w="256"/>
        <w:gridCol w:w="271"/>
        <w:gridCol w:w="109"/>
        <w:gridCol w:w="109"/>
        <w:gridCol w:w="109"/>
        <w:gridCol w:w="255"/>
        <w:gridCol w:w="256"/>
        <w:gridCol w:w="271"/>
        <w:gridCol w:w="109"/>
        <w:gridCol w:w="109"/>
        <w:gridCol w:w="109"/>
        <w:gridCol w:w="255"/>
        <w:gridCol w:w="256"/>
        <w:gridCol w:w="316"/>
      </w:tblGrid>
      <w:tr>
        <w:trPr/>
        <w:tc>
          <w:tcPr>
            <w:tcW w:w="198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provision at the statutory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provision, net of federal effect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benefits related to employee share-based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subsidiary earnings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and deductions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unrecognized tax benefits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foreign derived intangible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Intra-group transfer of IP</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income tax provision</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lower effective tax rate for the year ended December 31, 2024 was primarily due to the purchase of energy tax credits made available under the Inflation Reduction Act and a reduction in U.S. taxes on international income related to the changes in our tax profile from recent acquisitions, partially offset by the completion of an intra-group transfer of certain IP assets from a wholly-owned, non-U.S. subsidiary to our U.S. headquarters, in order to better align with current and future business operations, resulted in a one-time net tax expense of $33 million.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Deferred Income Taxes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temporary differences, which give rise to our deferred tax assets and (liabilities), consisted of the following:</w:t>
      </w:r>
    </w:p>
    <w:tbl>
      <w:tblPr>
        <w:tblW w:w="7074" w:type="dxa"/>
        <w:jc w:val="left"/>
        <w:tblInd w:w="0" w:type="dxa"/>
        <w:tblLayout w:type="fixed"/>
        <w:tblCellMar>
          <w:top w:w="28" w:type="dxa"/>
          <w:left w:w="28" w:type="dxa"/>
          <w:bottom w:w="28" w:type="dxa"/>
          <w:right w:w="28" w:type="dxa"/>
        </w:tblCellMar>
      </w:tblPr>
      <w:tblGrid>
        <w:gridCol w:w="1698"/>
        <w:gridCol w:w="1489"/>
        <w:gridCol w:w="1493"/>
        <w:gridCol w:w="211"/>
        <w:gridCol w:w="691"/>
        <w:gridCol w:w="109"/>
        <w:gridCol w:w="109"/>
        <w:gridCol w:w="109"/>
        <w:gridCol w:w="109"/>
        <w:gridCol w:w="211"/>
        <w:gridCol w:w="691"/>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net operating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benefit of uncertain tax positions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 and goodwill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tax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non-current deferred tax assets are included in other non-current assets in the Consolidated Balance Sheets.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no valuation allowances as of December 31, 2024 and $4 million as of December 31, 2023 due to recurring operating losses in a foreign jurisdiction. Based on all available positive and negative evidence, we believe the sources of future taxable income are sufficient to realize the remainder of Nasdaq’s deferred tax asset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Nasdaq has deferred tax assets associated with net operating losses, or NOLs, in U.S. state and local and non-U.S. jurisdictions with the following expiration dates:</w:t>
      </w:r>
    </w:p>
    <w:tbl>
      <w:tblPr>
        <w:tblW w:w="4424" w:type="dxa"/>
        <w:jc w:val="left"/>
        <w:tblInd w:w="0" w:type="dxa"/>
        <w:tblLayout w:type="fixed"/>
        <w:tblCellMar>
          <w:top w:w="28" w:type="dxa"/>
          <w:left w:w="28" w:type="dxa"/>
          <w:bottom w:w="28" w:type="dxa"/>
          <w:right w:w="28" w:type="dxa"/>
        </w:tblCellMar>
      </w:tblPr>
      <w:tblGrid>
        <w:gridCol w:w="761"/>
        <w:gridCol w:w="667"/>
        <w:gridCol w:w="672"/>
        <w:gridCol w:w="444"/>
        <w:gridCol w:w="539"/>
        <w:gridCol w:w="232"/>
        <w:gridCol w:w="324"/>
        <w:gridCol w:w="324"/>
        <w:gridCol w:w="461"/>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Jurisdiction</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Expiration Date</w:t>
            </w:r>
          </w:p>
        </w:tc>
      </w:tr>
      <w:tr>
        <w:trPr/>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NOL</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2039-2044</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state and local NOL</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2025-2043</w:t>
            </w:r>
          </w:p>
        </w:tc>
      </w:tr>
    </w:tbl>
    <w:p>
      <w:pPr>
        <w:pStyle w:val="TextBody"/>
        <w:bidi w:val="0"/>
        <w:spacing w:lineRule="auto" w:line="288" w:before="60" w:after="283"/>
        <w:jc w:val="both"/>
        <w:rPr>
          <w:rFonts w:ascii="Times New Roman;sans-serif" w:hAnsi="Times New Roman;sans-serif"/>
          <w:b/>
          <w:color w:val="000000"/>
          <w:sz w:val="20"/>
        </w:rPr>
      </w:pPr>
      <w:r>
        <w:rPr>
          <w:rFonts w:ascii="Times New Roman;sans-serif" w:hAnsi="Times New Roman;sans-serif"/>
          <w:b/>
          <w:color w:val="000000"/>
          <w:sz w:val="20"/>
        </w:rPr>
        <w:t>Unrecognized Tax Benefits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w:t>
      </w:r>
    </w:p>
    <w:tbl>
      <w:tblPr>
        <w:tblW w:w="8517" w:type="dxa"/>
        <w:jc w:val="left"/>
        <w:tblInd w:w="0" w:type="dxa"/>
        <w:tblLayout w:type="fixed"/>
        <w:tblCellMar>
          <w:top w:w="28" w:type="dxa"/>
          <w:left w:w="28" w:type="dxa"/>
          <w:bottom w:w="28" w:type="dxa"/>
          <w:right w:w="28" w:type="dxa"/>
        </w:tblCellMar>
      </w:tblPr>
      <w:tblGrid>
        <w:gridCol w:w="2093"/>
        <w:gridCol w:w="1836"/>
        <w:gridCol w:w="1846"/>
        <w:gridCol w:w="211"/>
        <w:gridCol w:w="361"/>
        <w:gridCol w:w="109"/>
        <w:gridCol w:w="109"/>
        <w:gridCol w:w="109"/>
        <w:gridCol w:w="109"/>
        <w:gridCol w:w="211"/>
        <w:gridCol w:w="361"/>
        <w:gridCol w:w="109"/>
        <w:gridCol w:w="109"/>
        <w:gridCol w:w="109"/>
        <w:gridCol w:w="109"/>
        <w:gridCol w:w="211"/>
        <w:gridCol w:w="361"/>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as a result of tax positions taken in prior periods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as a result of tax positions taken in the current period</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related to settlements with taxing authorities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as a result of lapses of the applicable statute of limitations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in the table above, if recognized in the future, would affect our effective tax rate. Nasdaq does not believe that our unrecognized tax benefits will materially change over the next 12 months.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interest and/or penalties related to income tax matters in the provision for income taxes in the Consolidated Statements of Income, which was $4 million tax expense for the year ended December 31, 2024, $3 million for the year ended December 31, 2023 and $1 million tax benefit for the year ended for December 31, 2022. Accrued interest and penalties, net of tax effect were $10 million as of December 31, 2024 and $6 million as of December 31, 2023.</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Tax Audits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and its eligible subsidiaries file a consolidated U.S. federal income tax return and applicable state and local income tax returns and non-U.S. income tax returns. We are subject to examination by federal, state and local, and foreign tax authorities. Our Federal income tax return is under audit for tax year 2018 and is subject to examination by the Internal Revenue Service for the years 2021 through 2023. Several state tax returns are currently under examination by the respective tax authorities for the years 2014 through 2023. Non-U.S. tax returns are subject to examination by the respective tax authorities for the years 2019 through 2023. We regularly assess the likelihood of additional assessments by each jurisdiction and have established tax reserves that we believe are adequate in relation to the potential for additional assessments. Examination outcomes and the timing of examination settlements are subject to uncertainty. Although the results of such examinations may have an impact on our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we do not anticipate that such impact will be material to our consolidated financial position or results of operations. We do not expect to settle any material tax audits 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18. COMMITMENTS, CONTINGENCIES AND GUARANTEES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Guarantees Issued and Credit Facilities Available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default fund contributions and margin collateral pledged by clearing members discussed in Note 15, “Clearing Operations,” we have obtained financial guarantees and credit facilities, which are guaranteed by us through counter indemnities, to provide further liquidity related to our clearing businesses. Financial guarantees issued to us totaled $4 million as of December 31, 2024 and December 31, 2023. As discussed in “Other Credit Facilities,” of Note 9, “Debt Obligations,” we also have credit facilities primarily related to our Nasdaq Clearing operations, which are available in multiple currencies, and totaled $174 million as of December 31, 2024 and $191 million as of December 31, 2023 in available liquidity, none of which was utilized.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Other Guarantees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clearing operations in the financial markets, Nasdaq Clearing is the legal counterparty for, and guarantees the performance of, its clearing members. See Note 15, “Clearing Operations,” for further discussion of Nasdaq Clearing performance guarantees.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provided a guarantee related to lease obligations for The Nasdaq Entrepreneurial Center, Inc., which is a not-for-profit organization designed to convene, connect and engage aspiring and current entrepreneurs. This entity is not included in the consolidated financial statements of Nasdaq.</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potential for us to be required to make payments under these arrangements is unlikely. Accordingly, no contingent liability is recorded in the Consolidated Balance Sheets for the above guarantees.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Routing Brokerage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Legal and Regulatory Matters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European Commission Matter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the European Commission conducted an inspection at the Nasdaq Stockholm offices. The inspection related to a potential competition law concern regarding the trading of Nordics financial derivatives. We have been cooperating with the European Commission, but are uncertain about the duration or ultimate outcome of the European Commission’s review, or to the extent there is any finding against us, the nature of any remedies or the amount of any fines.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disclosed above and in our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Nasdaq discusses matters with its regulators raised during regulatory examinations or otherwise subject to their inquiries. Management believes that censures, fines, penalties or other sanctions that could result from any ongoing examinations or inquiries will not have a material impact on its consolidated financial position or results of operations. However, we are unable to predict the outcome or the timing of the ultimate resolution of these matters, or the potential fines, penalties or injunctive or other equitable relief, if any, that may result from these matters.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Tax Audits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 See “Tax Audits,” of Note 17, “Income Taxes,”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19. BUSINESS SEGMENTS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operate and provide our products and services in three business segments: Capital Access Platforms, Financial Technology and Market Services. See Note 1, “Organization and Nature of Operations,” for further discussion of our reportable segments.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allocates resources, assesses performance and manages these businesses as three separate segments. We evaluate the performance of our segments based on several factors, of which the primary financial measure is operating income. Our CODM, who is our Chair and Chief Executive Officer, does not review total assets or statements of income below operating income by segments as key performance metrics; therefore, such information is not presented below.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we adopted ASU 2023-07 “Segment Reporting (Topic 280): Improvements to Reportable Segment Disclosures,” and applied it retrospectively to include significant segment expenses, as defined within ASU 2023-07, that are regularly provided to our chief operating decision maker, or CODM.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information regarding our business segments for the years ended December 31, 2024,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before="0" w:after="0"/>
        <w:jc w:val="left"/>
        <w:rPr/>
      </w:pPr>
      <w:r>
        <w:rPr/>
      </w:r>
    </w:p>
    <w:tbl>
      <w:tblPr>
        <w:tblW w:w="7017" w:type="dxa"/>
        <w:jc w:val="left"/>
        <w:tblInd w:w="0" w:type="dxa"/>
        <w:tblLayout w:type="fixed"/>
        <w:tblCellMar>
          <w:top w:w="28" w:type="dxa"/>
          <w:left w:w="28" w:type="dxa"/>
          <w:bottom w:w="28" w:type="dxa"/>
          <w:right w:w="28" w:type="dxa"/>
        </w:tblCellMar>
      </w:tblPr>
      <w:tblGrid>
        <w:gridCol w:w="1271"/>
        <w:gridCol w:w="1117"/>
        <w:gridCol w:w="1122"/>
        <w:gridCol w:w="211"/>
        <w:gridCol w:w="616"/>
        <w:gridCol w:w="109"/>
        <w:gridCol w:w="109"/>
        <w:gridCol w:w="109"/>
        <w:gridCol w:w="109"/>
        <w:gridCol w:w="211"/>
        <w:gridCol w:w="616"/>
        <w:gridCol w:w="109"/>
        <w:gridCol w:w="109"/>
        <w:gridCol w:w="109"/>
        <w:gridCol w:w="109"/>
        <w:gridCol w:w="211"/>
        <w:gridCol w:w="61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Capital Access Platforms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9"/>
              </w:rPr>
            </w:pPr>
            <w:r>
              <w:rPr>
                <w:rFonts w:ascii="Times New Roman;sans-serif" w:hAnsi="Times New Roman;sans-serif"/>
                <w:b w:val="false"/>
                <w:color w:val="000000"/>
                <w:sz w:val="19"/>
              </w:rPr>
              <w:t>Direct and directly consumed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Financial Technology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 and directly consumed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Market Services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Transaction-based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less transaction-based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 and directly consumed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Corporate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Consolidated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Transaction-based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less transaction-based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 and directly consumed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 and directly consumed expenses in the preceding table represent costs for resources directly used by the segment for revenue generating activities. Other expenses include indirect overhead costs allocated to our segments. During the first year of the integration of Adenza and Verafin, the allocation of these indirect overhead costs to the Financial Technology segment were phased in and therefore these allocations may change in the future. Other expenses also includes expenses allocated to our Corporate segment. The following table summarizes revenues and expenses allocated to our Corporate segment:</w:t>
      </w:r>
    </w:p>
    <w:tbl>
      <w:tblPr>
        <w:tblW w:w="7542" w:type="dxa"/>
        <w:jc w:val="left"/>
        <w:tblInd w:w="0" w:type="dxa"/>
        <w:tblLayout w:type="fixed"/>
        <w:tblCellMar>
          <w:top w:w="28" w:type="dxa"/>
          <w:left w:w="28" w:type="dxa"/>
          <w:bottom w:w="28" w:type="dxa"/>
          <w:right w:w="28" w:type="dxa"/>
        </w:tblCellMar>
      </w:tblPr>
      <w:tblGrid>
        <w:gridCol w:w="1542"/>
        <w:gridCol w:w="1354"/>
        <w:gridCol w:w="1364"/>
        <w:gridCol w:w="211"/>
        <w:gridCol w:w="541"/>
        <w:gridCol w:w="109"/>
        <w:gridCol w:w="109"/>
        <w:gridCol w:w="109"/>
        <w:gridCol w:w="109"/>
        <w:gridCol w:w="211"/>
        <w:gridCol w:w="541"/>
        <w:gridCol w:w="109"/>
        <w:gridCol w:w="109"/>
        <w:gridCol w:w="109"/>
        <w:gridCol w:w="109"/>
        <w:gridCol w:w="211"/>
        <w:gridCol w:w="541"/>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Divested businesses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Adenza purchase accounting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of acquired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strategic initiatives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 impairments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regulatory matters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 divested businesses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our segments’ results, see “Segment Operating Results,” of “Part II, Item 7. Management’s Discussion and Analysis of Financial Condition and Results of Operations.”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items in the preceding table are not included in the measurement of segment profitability reviewed by our CODM, as we believe they do not contribute to a meaningful evaluation of a particular segment’s ongoing operating performance. Management does not consider these items for the purpose of evaluating the performance of our segments or their managers or when making decisions to allocate resources. Therefore, we believe performance measures excluding the below items provide management with a useful representation of our segments’ ongoing activity in each period. These items, which are presented in the tables above, include the following:</w:t>
      </w:r>
    </w:p>
    <w:p>
      <w:pPr>
        <w:pStyle w:val="TextBody"/>
        <w:bidi w:val="0"/>
        <w:spacing w:lineRule="auto" w:line="288" w:before="120" w:after="283"/>
        <w:ind w:left="0" w:right="0" w:hanging="180"/>
        <w:jc w:val="both"/>
        <w:rPr/>
      </w:pPr>
      <w:r>
        <w:rPr>
          <w:color w:val="231F20"/>
        </w:rPr>
        <w:t>•</w:t>
      </w:r>
      <w:r>
        <w:rPr>
          <w:rFonts w:ascii="Times New Roman;sans-serif" w:hAnsi="Times New Roman;sans-serif"/>
          <w:b w:val="false"/>
          <w:i/>
          <w:color w:val="000000"/>
          <w:sz w:val="20"/>
        </w:rPr>
        <w:t xml:space="preserve">Revenues and expenses - divested businesses: </w:t>
      </w:r>
      <w:r>
        <w:rPr>
          <w:rFonts w:ascii="Times New Roman;sans-serif" w:hAnsi="Times New Roman;sans-serif"/>
          <w:b w:val="false"/>
          <w:color w:val="000000"/>
          <w:sz w:val="20"/>
        </w:rPr>
        <w:t>In June 2023, we entered into an agreement to sell our Nordic power trading and clearing business, which was subsequently terminated in June 2024. In January 2025, we entered into a new agreement to transfer existing open positions in our Nordic power derivatives trading and clearing business to a European exchange. The completion of this transaction is subject to customary regulatory approvals. Revenues and expenses related to this business for the years ended December 31, 2024, 2023 and 2022, continue to be included as revenues and expenses - divested businesses. Historically, these amounts were included in our Market Services and Capital Access Platforms segments. For 2022, this also includes the revenues and expenses of our U.S. Fixed Income business, which was previously included in our Market Services and Capital Access Platforms segments.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Amortization expense of acquired intangible assets: </w:t>
      </w:r>
      <w:r>
        <w:rPr>
          <w:rFonts w:ascii="Times New Roman;sans-serif" w:hAnsi="Times New Roman;sans-serif"/>
          <w:b w:val="false"/>
          <w:color w:val="000000"/>
          <w:sz w:val="20"/>
        </w:rPr>
        <w:t>We amortize intangible 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segments, and the relative operating performance of the segments between periods.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Merger and strategic initiatives expense: </w:t>
      </w:r>
      <w:r>
        <w:rPr>
          <w:rFonts w:ascii="Times New Roman;sans-serif" w:hAnsi="Times New Roman;sans-serif"/>
          <w:b w:val="false"/>
          <w:color w:val="000000"/>
          <w:sz w:val="20"/>
        </w:rPr>
        <w:t>We have pursued various strategic initiatives and completed acquisitions and divestitures in recent years that have resulted in expenses which would not have otherwise been incurred. These expenses generally include integration costs, as well as legal, due diligence and other third-party transaction costs. The frequency and the amount of such expenses vary significantly based on the size, timing and complexity of the transaction. For the years ended December 31, 2024 and 2023, these costs primarily relate to the Adenza acquisition. For the year ended December 31, 2024, these costs were partially offset by receipt of a fee related to the termination of the proposed divestiture of our Nordic power trading and clearing business.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Restructuring charges: </w:t>
      </w:r>
      <w:r>
        <w:rPr>
          <w:rFonts w:ascii="Times New Roman;sans-serif" w:hAnsi="Times New Roman;sans-serif"/>
          <w:b w:val="false"/>
          <w:color w:val="000000"/>
          <w:sz w:val="20"/>
        </w:rPr>
        <w:t xml:space="preserve">In the fourth quarter of 2023, following the closing of the Adenza acquisition, our management approved, committed to and initiated a restructuring program, “Adenza Restructuring” to optimize our efficiencies as a combined organization. In October 2022, following our September 2022 announcement to realign our segments and leadership, we initiated a divisional alignment program with a focus on realizing the full potential of this structure. In September 2024, we completed our divisional alignment program. See Note 20, “Restructuring Charges,” for further discussion of these plans.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Other items: </w:t>
      </w:r>
      <w:r>
        <w:rPr>
          <w:rFonts w:ascii="Times New Roman;sans-serif" w:hAnsi="Times New Roman;sans-serif"/>
          <w:b w:val="false"/>
          <w:color w:val="000000"/>
          <w:sz w:val="20"/>
        </w:rPr>
        <w:t xml:space="preserve">We have included certain other charges or gains in corporate items, to the extent we believe they should be excluded when evaluating the ongoing operating performance of each individual segment. Other items primarily include: </w:t>
      </w:r>
    </w:p>
    <w:p>
      <w:pPr>
        <w:pStyle w:val="TextBody"/>
        <w:bidi w:val="0"/>
        <w:spacing w:lineRule="auto" w:line="288" w:before="120" w:after="283"/>
        <w:ind w:left="0" w:right="0" w:hanging="180"/>
        <w:jc w:val="both"/>
        <w:rPr/>
      </w:pPr>
      <w:r>
        <w:rPr>
          <w:color w:val="000000"/>
          <w:shd w:fill="FFFFFF" w:val="clear"/>
        </w:rPr>
        <w:t>◦</w:t>
      </w:r>
      <w:r>
        <w:rPr>
          <w:rFonts w:ascii="Times New Roman;sans-serif" w:hAnsi="Times New Roman;sans-serif"/>
          <w:b w:val="false"/>
          <w:i/>
          <w:color w:val="000000"/>
          <w:sz w:val="20"/>
        </w:rPr>
        <w:t xml:space="preserve">Adenza purchase accounting adjustment: </w:t>
      </w:r>
      <w:r>
        <w:rPr>
          <w:rFonts w:ascii="Times New Roman;sans-serif" w:hAnsi="Times New Roman;sans-serif"/>
          <w:b w:val="false"/>
          <w:color w:val="000000"/>
          <w:sz w:val="20"/>
        </w:rPr>
        <w:t xml:space="preserve">As discussed in Note 3, “Revenue from Contracts with Customers,” during the third quarter of 2024, as part of finalizing the purchase accounting of the Adenza acquisition, a one-time net revenue reduction of $32 million was recorded in our Financial Technology segment, reflecting the net impact of the accounting change on AxiomSL subscription revenue from the date of the Adenza acquisition. For purposes of evaluating the performance of our segments, we have excluded the reduction of $34 million as this relates to the prior year impact of this change. We have not excluded the $2 million offsetting current year impact of this change.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Lease asset impairments: </w:t>
      </w:r>
      <w:r>
        <w:rPr>
          <w:rFonts w:ascii="Times New Roman;sans-serif" w:hAnsi="Times New Roman;sans-serif"/>
          <w:b w:val="false"/>
          <w:color w:val="000000"/>
          <w:sz w:val="20"/>
        </w:rPr>
        <w:t xml:space="preserve">For year ended December 31, 2023, this included impairment charges related to our operating lease assets and leasehold improvements associated with vacating certain leased office space, which are recorded in occupancy and depreciation and amortization expense in the Consolidated Statements of Income. See Note 16, “Leases,” for further discussion. </w:t>
      </w:r>
    </w:p>
    <w:p>
      <w:pPr>
        <w:pStyle w:val="TextBody"/>
        <w:bidi w:val="0"/>
        <w:spacing w:lineRule="auto" w:line="288" w:before="120" w:after="283"/>
        <w:ind w:left="0" w:right="0" w:hanging="180"/>
        <w:jc w:val="both"/>
        <w:rPr/>
      </w:pPr>
      <w:r>
        <w:rPr>
          <w:color w:val="000000"/>
          <w:shd w:fill="FFFFFF" w:val="clear"/>
        </w:rPr>
        <w:t>◦</w:t>
      </w:r>
      <w:r>
        <w:rPr>
          <w:rFonts w:ascii="Times New Roman;sans-serif" w:hAnsi="Times New Roman;sans-serif"/>
          <w:b w:val="false"/>
          <w:i/>
          <w:color w:val="000000"/>
          <w:sz w:val="20"/>
        </w:rPr>
        <w:t xml:space="preserve">Legal and regulatory matters: </w:t>
      </w:r>
      <w:r>
        <w:rPr>
          <w:rFonts w:ascii="Times New Roman;sans-serif" w:hAnsi="Times New Roman;sans-serif"/>
          <w:b w:val="false"/>
          <w:color w:val="000000"/>
          <w:sz w:val="20"/>
        </w:rPr>
        <w:t>For the year ended December 31, 2024, this primarily related to the settlement of a previously disclosed SFSA inquiry, and accruals related to certain legal matters. For the years ended December 31, 2023 and 2022, this also included accruals related to certain legal matters. For the year ended December 31, 2023, these charges were partially offset by insurance recoveries related to certain legal matters. The fine is recorded in regulatory expense and the accruals and insurance recoveries are recorded in professional and contract services and general, administrative and other expense in the Consolidated Statements of Income.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Extinguishment of debt:</w:t>
      </w:r>
      <w:r>
        <w:rPr>
          <w:color w:val="000000"/>
        </w:rPr>
        <w:t xml:space="preserve"> </w:t>
      </w:r>
      <w:r>
        <w:rPr>
          <w:rFonts w:ascii="Times New Roman;sans-serif" w:hAnsi="Times New Roman;sans-serif"/>
          <w:b w:val="false"/>
          <w:color w:val="000000"/>
          <w:sz w:val="20"/>
        </w:rPr>
        <w:t>For the years ended December 31, 2024 and 2022, this includes a loss on extinguishment of debt, which is recorded under general, administrative and other expense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Pension settlement charge: </w:t>
      </w:r>
      <w:r>
        <w:rPr>
          <w:rFonts w:ascii="Times New Roman;sans-serif" w:hAnsi="Times New Roman;sans-serif"/>
          <w:b w:val="false"/>
          <w:color w:val="000000"/>
          <w:sz w:val="20"/>
        </w:rPr>
        <w:t xml:space="preserve">For the years ended December 31, 2024 and 2023, we recorded a pre-tax charge as a result of settling our U.S. pension plan. The plan was terminated and partially settled in 2023, with final settlement occurring during the first quarter of 2024. The pre-tax charge is recorded in compensation and benefits in the Consolidated Statements of Income. See Note 10, “Retirement Plans,” 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Geographic Data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total revenues and property and equipment, net by geographic area for 2024, 2023 and 2022. Revenues are classified based upon the location of the customer. Property and equipment information is based on the physical location of the assets. </w:t>
      </w:r>
    </w:p>
    <w:tbl>
      <w:tblPr>
        <w:tblW w:w="3947" w:type="dxa"/>
        <w:jc w:val="left"/>
        <w:tblInd w:w="0" w:type="dxa"/>
        <w:tblLayout w:type="fixed"/>
        <w:tblCellMar>
          <w:top w:w="28" w:type="dxa"/>
          <w:left w:w="28" w:type="dxa"/>
          <w:bottom w:w="28" w:type="dxa"/>
          <w:right w:w="28" w:type="dxa"/>
        </w:tblCellMar>
      </w:tblPr>
      <w:tblGrid>
        <w:gridCol w:w="590"/>
        <w:gridCol w:w="518"/>
        <w:gridCol w:w="527"/>
        <w:gridCol w:w="211"/>
        <w:gridCol w:w="616"/>
        <w:gridCol w:w="109"/>
        <w:gridCol w:w="109"/>
        <w:gridCol w:w="109"/>
        <w:gridCol w:w="109"/>
        <w:gridCol w:w="266"/>
        <w:gridCol w:w="589"/>
        <w:gridCol w:w="194"/>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and</w:t>
              <w:br/>
              <w:t>Equipment, Net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(in millions)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for all other countries primarily includes assets held in Sweden. No single customer accounted for 10.0% or more of our revenues in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20. RESTRUCTURING CHARGES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2023, following the closing of the Adenza acquisition, our management approved, committed to and initiated a restructuring program, “Adenza Restructuring” to optimize our efficiencies as a combined organization. We further expanded this program in the fourth quarter of 2024 to accelerate our momentum. In connection with this program, we expect to incur approximately $140 million in pre-tax charges. We have incurred costs principally related to employee-related costs, contract terminations, asset impairments and other related costs and expect to incur additional costs in these areas in an effort to accelerate efficiencies through location strategy and enhanced AI capabilities. Actions taken as part of this program are expected to be completed by the end of 2025, while certain costs may be recognized in the first half of 2026. We expect to achieve benefits primarily in the form of expense synergies.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following our September 2022 announcement to realign our segments and leadership, we initiated a divisional alignment program with a focus on realizing the full potential of this structure. As of September 30, 2024, we completed our divisional alignment program and recognized total pre-tax charges of $139 million over a two-year period, within the anticipated range of $115 million to $145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related to these programs are recorded as restructuring charges in the Consolidated Statements of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Adenza restructuring program and our divisional alignment program charges for the years ended December 31, 2024, 2023 and 2022 as well as total program costs incurred since the inception date of each program.</w:t>
      </w:r>
    </w:p>
    <w:tbl>
      <w:tblPr>
        <w:tblW w:w="5832" w:type="dxa"/>
        <w:jc w:val="left"/>
        <w:tblInd w:w="0" w:type="dxa"/>
        <w:tblLayout w:type="fixed"/>
        <w:tblCellMar>
          <w:top w:w="28" w:type="dxa"/>
          <w:left w:w="28" w:type="dxa"/>
          <w:bottom w:w="28" w:type="dxa"/>
          <w:right w:w="28" w:type="dxa"/>
        </w:tblCellMar>
      </w:tblPr>
      <w:tblGrid>
        <w:gridCol w:w="891"/>
        <w:gridCol w:w="783"/>
        <w:gridCol w:w="785"/>
        <w:gridCol w:w="109"/>
        <w:gridCol w:w="109"/>
        <w:gridCol w:w="109"/>
        <w:gridCol w:w="109"/>
        <w:gridCol w:w="211"/>
        <w:gridCol w:w="466"/>
        <w:gridCol w:w="109"/>
        <w:gridCol w:w="109"/>
        <w:gridCol w:w="109"/>
        <w:gridCol w:w="109"/>
        <w:gridCol w:w="211"/>
        <w:gridCol w:w="406"/>
        <w:gridCol w:w="109"/>
        <w:gridCol w:w="109"/>
        <w:gridCol w:w="109"/>
        <w:gridCol w:w="109"/>
        <w:gridCol w:w="211"/>
        <w:gridCol w:w="40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7"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Adenza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Divisional realignment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Consulting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Adenza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Divisional realignment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Employee-related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Adenza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Divisional realignment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Adenza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Divisional realignment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Program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824" w:type="dxa"/>
            <w:gridSpan w:val="9"/>
            <w:tcBorders/>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Adenza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Divisional realignment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10.26</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bidi w:val="0"/>
        <w:spacing w:lineRule="auto" w:line="288" w:before="0" w:after="24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AMENDMENT NO. 4 TO AMENDED AND RESTATED CREDIT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This AMENDMENT NO. 4, dated as of December 16, 2024 (this “</w:t>
      </w:r>
      <w:r>
        <w:rPr>
          <w:rFonts w:ascii="Times New Roman;sans-serif" w:hAnsi="Times New Roman;sans-serif"/>
          <w:b w:val="false"/>
          <w:color w:val="000000"/>
          <w:sz w:val="22"/>
          <w:u w:val="single"/>
        </w:rPr>
        <w:t>Amendment Agreement</w:t>
      </w:r>
      <w:r>
        <w:rPr>
          <w:color w:val="000000"/>
        </w:rPr>
        <w:t>”</w:t>
      </w:r>
      <w:r>
        <w:rPr>
          <w:rFonts w:ascii="Times New Roman;sans-serif" w:hAnsi="Times New Roman;sans-serif"/>
          <w:b w:val="false"/>
          <w:color w:val="000000"/>
          <w:sz w:val="22"/>
        </w:rPr>
        <w:t>), among Nasdaq,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(as defined below), Bank of America, N.A., as administrative agent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and BofA Securities, Inc., as sustainability coordinator (in such capacity, the “</w:t>
      </w:r>
      <w:r>
        <w:rPr>
          <w:rFonts w:ascii="Times New Roman;sans-serif" w:hAnsi="Times New Roman;sans-serif"/>
          <w:b w:val="false"/>
          <w:color w:val="000000"/>
          <w:sz w:val="22"/>
          <w:u w:val="single"/>
        </w:rPr>
        <w:t>Sustainability Coordinator</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WHEREAS, reference is made to that certain Amended and Restated Credit Agreement, dated as of December 16, 2022 (as amended by Amendment No. 1, dated as of March 29, 2023, as amended by Amendment No. 2, dated as of June 16, 2023, and as amended by Amendment No. 3, dated as of August 2, 2024, the “</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and as amended by this Amendment Agreement, the “</w:t>
      </w:r>
      <w:r>
        <w:rPr>
          <w:rFonts w:ascii="Times New Roman;sans-serif" w:hAnsi="Times New Roman;sans-serif"/>
          <w:b w:val="false"/>
          <w:color w:val="000000"/>
          <w:sz w:val="22"/>
          <w:u w:val="single"/>
        </w:rPr>
        <w:t>Amended Credit Agreement</w:t>
      </w:r>
      <w:r>
        <w:rPr>
          <w:color w:val="000000"/>
        </w:rPr>
        <w:t>”</w:t>
      </w:r>
      <w:r>
        <w:rPr>
          <w:rFonts w:ascii="Times New Roman;sans-serif" w:hAnsi="Times New Roman;sans-serif"/>
          <w:b w:val="false"/>
          <w:color w:val="000000"/>
          <w:sz w:val="22"/>
        </w:rPr>
        <w:t>), among the Borrower, the lenders party thereto (collectively,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xml:space="preserve">), the Administrative Agent and the other parties from time to time party thereto. Unless otherwise defined herein, terms defined in the Amended Credit Agreement and used herein shall have the meanings given to them in the Amended Credit Agreement;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WHEREAS, the Borrower desires to amend certain provisions of the Existing Credit Agreement, on the terms set forth herein;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Sections 2.20(g) and 9.02(b) of the Existing Credit Agreement, the Borrower, the Sustainability Coordinator, the Administrative Agent and the Lenders constituting the Required Lenders (as defined in the Existing Credit Agreement) desire to amend the Existing Credit Agreement and certain other Loan Documents solely for the purpose of incorporating certain amendments to the provisions relating to Section 2.20 of the Existing Credit Agreement, Exhibit E to the Existing Credit Agreement, Schedule 2.20 to the Existing Credit Agreement and the related definitions and provisions.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contained herein and for other good and valuable consideration, the receipt and sufficiency of which are hereby acknowledged, the parties hereto, intending to be legally bound hereby, agree as follows:</w:t>
      </w:r>
    </w:p>
    <w:p>
      <w:pPr>
        <w:pStyle w:val="TextBody"/>
        <w:bidi w:val="0"/>
        <w:spacing w:lineRule="auto" w:line="240" w:before="0" w:after="240"/>
        <w:ind w:left="0" w:right="0" w:firstLine="720"/>
        <w:jc w:val="left"/>
        <w:rPr/>
      </w:pPr>
      <w:r>
        <w:rPr>
          <w:rFonts w:ascii="Times New Roman;sans-serif" w:hAnsi="Times New Roman;sans-serif"/>
          <w:b/>
          <w:i/>
          <w:color w:val="000000"/>
          <w:sz w:val="22"/>
        </w:rPr>
        <w:t>Section 1</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 xml:space="preserve">Amendment of the Existing Credit Agreement. </w:t>
      </w:r>
      <w:r>
        <w:rPr>
          <w:rFonts w:ascii="Times New Roman;sans-serif" w:hAnsi="Times New Roman;sans-serif"/>
          <w:b w:val="false"/>
          <w:color w:val="000000"/>
          <w:sz w:val="22"/>
        </w:rPr>
        <w:t>As of the Amendment No. 4 Effective Date (as defined below), the Existing Credit Agreement is hereby amended by:</w:t>
      </w:r>
    </w:p>
    <w:p>
      <w:pPr>
        <w:pStyle w:val="TextBody"/>
        <w:bidi w:val="0"/>
        <w:spacing w:lineRule="auto" w:line="240" w:before="0" w:after="240"/>
        <w:ind w:left="0" w:right="0" w:firstLine="936"/>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deleting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inserting the double-underlined text (indicated textually in the same manner as the following example: </w:t>
      </w:r>
      <w:r>
        <w:rPr>
          <w:rFonts w:ascii="Times New Roman;sans-serif" w:hAnsi="Times New Roman;sans-serif"/>
          <w:b w:val="false"/>
          <w:color w:val="143ADE"/>
          <w:sz w:val="22"/>
          <w:u w:val="single"/>
        </w:rPr>
        <w:t>double-underlined text</w:t>
      </w:r>
      <w:r>
        <w:rPr>
          <w:rFonts w:ascii="Times New Roman;sans-serif" w:hAnsi="Times New Roman;sans-serif"/>
          <w:b w:val="false"/>
          <w:color w:val="000000"/>
          <w:sz w:val="22"/>
        </w:rPr>
        <w:t xml:space="preserve">) as set forth in the Amended Credit Agreement attached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hereto; </w:t>
      </w:r>
    </w:p>
    <w:p>
      <w:pPr>
        <w:pStyle w:val="TextBody"/>
        <w:bidi w:val="0"/>
        <w:spacing w:lineRule="auto" w:line="240" w:before="0" w:after="240"/>
        <w:ind w:left="0" w:right="0" w:firstLine="936"/>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amending and restating Exhibit E to the Existing Credit Agreement in the form attached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hereto; and </w:t>
      </w:r>
    </w:p>
    <w:p>
      <w:pPr>
        <w:pStyle w:val="TextBody"/>
        <w:bidi w:val="0"/>
        <w:spacing w:lineRule="auto" w:line="240" w:before="0" w:after="240"/>
        <w:ind w:left="0" w:right="0" w:firstLine="936"/>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amending and restating Schedule 2.20 to the Existing Credit Agreement in the form attached as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 xml:space="preserve">hereto; and </w:t>
      </w:r>
    </w:p>
    <w:p>
      <w:pPr>
        <w:pStyle w:val="TextBody"/>
        <w:bidi w:val="0"/>
        <w:spacing w:lineRule="auto" w:line="240" w:before="0" w:after="240"/>
        <w:ind w:left="0" w:right="0" w:firstLine="720"/>
        <w:jc w:val="left"/>
        <w:rPr/>
      </w:pPr>
      <w:r>
        <w:rPr>
          <w:rFonts w:ascii="Times New Roman;sans-serif" w:hAnsi="Times New Roman;sans-serif"/>
          <w:b/>
          <w:i/>
          <w:color w:val="000000"/>
          <w:sz w:val="22"/>
        </w:rPr>
        <w:t>Section 2</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Effectiveness.</w:t>
      </w:r>
      <w:r>
        <w:rPr>
          <w:color w:val="000000"/>
        </w:rPr>
        <w:t xml:space="preserve"> </w:t>
      </w:r>
      <w:r>
        <w:rPr>
          <w:rFonts w:ascii="Times New Roman;sans-serif" w:hAnsi="Times New Roman;sans-serif"/>
          <w:b w:val="false"/>
          <w:color w:val="000000"/>
          <w:sz w:val="22"/>
        </w:rPr>
        <w:t>This Amendment Agreement shall become effective on the date (such date and time of effectiveness, the “Amendment No. 4 Effective Date”) that each of the conditions set forth below shall have been satisfied:</w:t>
      </w:r>
    </w:p>
    <w:p>
      <w:pPr>
        <w:pStyle w:val="TextBody"/>
        <w:bidi w:val="0"/>
        <w:spacing w:lineRule="auto" w:line="240" w:before="0" w:after="240"/>
        <w:ind w:left="0" w:right="0" w:firstLine="936"/>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Administrative Agent shall have received executed counterparts hereof from the Borrower, the Administrative Agent, the Sustainability Coordinator and the Lenders constituting the Required Lenders; </w:t>
      </w:r>
    </w:p>
    <w:p>
      <w:pPr>
        <w:pStyle w:val="TextBody"/>
        <w:bidi w:val="0"/>
        <w:spacing w:before="0" w:after="24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4"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936"/>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the Borrower shall have paid, or concurrently herewith shall pay, to the Administrative Agent, to the extent invoiced at least two (2) Business Days prior to the date hereof, its reasonable and documented out-of-pocket expenses incurred in connection with this Amendment Agreement, in each case, in accordance with, and subject to the limitations of, Section 9.03(a) of the Existing Credit Agreement; and</w:t>
      </w:r>
    </w:p>
    <w:p>
      <w:pPr>
        <w:pStyle w:val="TextBody"/>
        <w:bidi w:val="0"/>
        <w:spacing w:lineRule="auto" w:line="240" w:before="0" w:after="240"/>
        <w:ind w:left="0" w:right="0" w:firstLine="936"/>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the Administrative Agent shall have received from the Borrower an amended and restated Sustainability Pricing Certificate in respect of the calendar year ended December 31, 2023, which shall (x) include only the KPI Metric in respect of the Percent SBT Spend and (y) apply only with respect to the period beginning with the fifth Business Day after the Amendment No. 4 Effective Date through the next Sustainability Pricing Adjustment Date.</w:t>
      </w:r>
    </w:p>
    <w:p>
      <w:pPr>
        <w:pStyle w:val="TextBody"/>
        <w:bidi w:val="0"/>
        <w:spacing w:lineRule="auto" w:line="240" w:before="0" w:after="240"/>
        <w:ind w:left="0" w:right="0" w:firstLine="720"/>
        <w:jc w:val="left"/>
        <w:rPr/>
      </w:pPr>
      <w:r>
        <w:rPr>
          <w:rFonts w:ascii="Times New Roman;sans-serif" w:hAnsi="Times New Roman;sans-serif"/>
          <w:b/>
          <w:i/>
          <w:color w:val="000000"/>
          <w:sz w:val="22"/>
        </w:rPr>
        <w:t>Section 3</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Representations and Warranties.</w:t>
      </w:r>
      <w:r>
        <w:rPr>
          <w:color w:val="000000"/>
        </w:rPr>
        <w:t xml:space="preserve"> </w:t>
      </w:r>
      <w:r>
        <w:rPr>
          <w:rFonts w:ascii="Times New Roman;sans-serif" w:hAnsi="Times New Roman;sans-serif"/>
          <w:b w:val="false"/>
          <w:color w:val="000000"/>
          <w:sz w:val="22"/>
        </w:rPr>
        <w:t>In order to induce the Lenders and the Administrative Agent to enter into this Amendment Agreement, the Borrower hereby represents and warrants to each of the Lenders and the Administrative Agent that, as of the Amendment No. 4 Effective Date, both before and after giving effect to this Amendment Agreement:</w:t>
      </w:r>
    </w:p>
    <w:p>
      <w:pPr>
        <w:pStyle w:val="TextBody"/>
        <w:bidi w:val="0"/>
        <w:spacing w:lineRule="auto" w:line="240" w:before="0" w:after="240"/>
        <w:ind w:left="0" w:right="0" w:firstLine="936"/>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no Default (as defined in the Existing Credit Agreement) shall have occurred or be continuing; and</w:t>
      </w:r>
    </w:p>
    <w:p>
      <w:pPr>
        <w:pStyle w:val="TextBody"/>
        <w:bidi w:val="0"/>
        <w:spacing w:lineRule="auto" w:line="240" w:before="0" w:after="240"/>
        <w:ind w:left="0" w:right="0" w:firstLine="936"/>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the representations and warranties of the Borrower set forth in the Loan Documents shall be true and correct in all material respects on and as of the Amendment No. 4 Effective Date, except to the extent that any representation and warranty expressly relates to an earlier date, in which case such representation and warranty shall have been true and correct in all material respects as of such earlier date.</w:t>
      </w:r>
    </w:p>
    <w:p>
      <w:pPr>
        <w:pStyle w:val="TextBody"/>
        <w:bidi w:val="0"/>
        <w:spacing w:lineRule="auto" w:line="240" w:before="0" w:after="240"/>
        <w:ind w:left="0" w:right="0" w:firstLine="720"/>
        <w:jc w:val="left"/>
        <w:rPr/>
      </w:pPr>
      <w:r>
        <w:rPr>
          <w:rFonts w:ascii="Times New Roman;sans-serif" w:hAnsi="Times New Roman;sans-serif"/>
          <w:b/>
          <w:i/>
          <w:color w:val="000000"/>
          <w:sz w:val="22"/>
        </w:rPr>
        <w:t>Section 4</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 xml:space="preserve">Effect of Amendment. </w:t>
      </w:r>
    </w:p>
    <w:p>
      <w:pPr>
        <w:pStyle w:val="TextBody"/>
        <w:bidi w:val="0"/>
        <w:spacing w:lineRule="auto" w:line="240" w:before="0" w:after="240"/>
        <w:ind w:left="0" w:right="0" w:firstLine="936"/>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Except as expressly set forth herein, this Amendment Agreement shall not by implication or otherwise limit, impair, constitute a waiver of or otherwise affect the rights and remedies of the Lenders or the Administrative Agent under the Existing Credit Agreement or any other Loan Document and shall not alter, modify, amend or in any way affect any of the terms, conditions, obligations, covenants or agreements contained in the Existing Credit Agreement or any other provision of the Existing Credit Agreement or of any other Loan Document, all of which, subject to the terms of this Amendment Agreement, are ratified and affirmed in all respects and shall continue in full force and effect. Nothing herein shall be deemed to entitle the Borrower to a consent to, or a waiver, amendment, modification or other change of, any of the terms, conditions, obligations, covenants or agreements contained in the Existing Credit Agreement, Amended Credit Agreement or any other Loan Document in similar or different circumstances.</w:t>
      </w:r>
    </w:p>
    <w:p>
      <w:pPr>
        <w:pStyle w:val="TextBody"/>
        <w:bidi w:val="0"/>
        <w:spacing w:lineRule="auto" w:line="240" w:before="0" w:after="240"/>
        <w:ind w:left="0" w:right="0" w:firstLine="936"/>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On and after the Amendment No. 4 Effective Date, each reference in the Existing Credit Agreement to “this Agreement”, “hereunder”, “hereof’, “herein”, or words of like import, and each reference to the “Credit Agreement” in any other Loan Document shall be deemed a reference to the Amended Credit Agreement. This Amendment Agreement shall constitute a “Loan Document” for all purposes of the Amended Credit Agreement and the other Loan Documents.</w:t>
      </w:r>
    </w:p>
    <w:p>
      <w:pPr>
        <w:pStyle w:val="TextBody"/>
        <w:bidi w:val="0"/>
        <w:spacing w:lineRule="auto" w:line="240" w:before="0" w:after="240"/>
        <w:ind w:left="0" w:right="0" w:firstLine="720"/>
        <w:jc w:val="left"/>
        <w:rPr/>
      </w:pPr>
      <w:r>
        <w:rPr>
          <w:rFonts w:ascii="Times New Roman;sans-serif" w:hAnsi="Times New Roman;sans-serif"/>
          <w:b/>
          <w:i/>
          <w:color w:val="000000"/>
          <w:sz w:val="22"/>
        </w:rPr>
        <w:t>Section 5</w:t>
      </w:r>
      <w:r>
        <w:rPr>
          <w:rFonts w:ascii="Times New Roman;sans-serif" w:hAnsi="Times New Roman;sans-serif"/>
          <w:b w:val="false"/>
          <w:i/>
          <w:color w:val="000000"/>
          <w:sz w:val="22"/>
        </w:rPr>
        <w:t xml:space="preserve">. Governing Law; </w:t>
      </w:r>
      <w:r>
        <w:rPr>
          <w:rFonts w:ascii="Times New Roman;sans-serif" w:hAnsi="Times New Roman;sans-serif"/>
          <w:b/>
          <w:i/>
          <w:color w:val="000000"/>
          <w:sz w:val="22"/>
        </w:rPr>
        <w:t>WAIVER OF JURY TRIAL</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This Amendment Agreement shall be governed by, and construed in accordance with, the laws of the State of New York.</w:t>
      </w:r>
      <w:r>
        <w:rPr>
          <w:color w:val="000000"/>
        </w:rPr>
        <w:t xml:space="preserve"> </w:t>
      </w:r>
      <w:r>
        <w:rPr>
          <w:rFonts w:ascii="Times New Roman;sans-serif" w:hAnsi="Times New Roman;sans-serif"/>
          <w:b/>
          <w:color w:val="000000"/>
          <w:sz w:val="22"/>
        </w:rPr>
        <w:t xml:space="preserve">SECTIONS 9.09(B), (C) AND (D) AND SECTION 9.10 OF THE AMENDED CREDIT AGREEMENT ARE HEREBY INCORPORATED BY REFERENCE HEREIN, </w:t>
      </w:r>
      <w:r>
        <w:rPr>
          <w:rFonts w:ascii="Times New Roman;sans-serif" w:hAnsi="Times New Roman;sans-serif"/>
          <w:b/>
          <w:i/>
          <w:color w:val="000000"/>
          <w:sz w:val="22"/>
        </w:rPr>
        <w:t>MUTATIS MUTANDIS</w:t>
      </w:r>
      <w:r>
        <w:rPr>
          <w:rFonts w:ascii="Times New Roman;sans-serif" w:hAnsi="Times New Roman;sans-serif"/>
          <w:b/>
          <w:color w:val="000000"/>
          <w:sz w:val="22"/>
        </w:rPr>
        <w:t>.</w:t>
      </w:r>
    </w:p>
    <w:p>
      <w:pPr>
        <w:pStyle w:val="TextBody"/>
        <w:bidi w:val="0"/>
        <w:spacing w:lineRule="auto" w:line="288" w:before="0" w:after="240"/>
        <w:ind w:left="0" w:right="0" w:firstLine="720"/>
        <w:jc w:val="left"/>
        <w:rPr/>
      </w:pPr>
      <w:r>
        <w:rPr>
          <w:rFonts w:ascii="Times New Roman;sans-serif" w:hAnsi="Times New Roman;sans-serif"/>
          <w:b/>
          <w:i/>
          <w:color w:val="000000"/>
          <w:sz w:val="22"/>
        </w:rPr>
        <w:t>Section 6</w:t>
      </w:r>
      <w:r>
        <w:rPr>
          <w:rFonts w:ascii="Times New Roman;sans-serif" w:hAnsi="Times New Roman;sans-serif"/>
          <w:b w:val="false"/>
          <w:i/>
          <w:color w:val="000000"/>
          <w:sz w:val="22"/>
        </w:rPr>
        <w:t>. Counterparts.</w:t>
      </w:r>
      <w:r>
        <w:rPr>
          <w:color w:val="000000"/>
        </w:rPr>
        <w:t xml:space="preserve"> </w:t>
      </w:r>
      <w:r>
        <w:rPr>
          <w:rFonts w:ascii="Times New Roman;sans-serif" w:hAnsi="Times New Roman;sans-serif"/>
          <w:b w:val="false"/>
          <w:color w:val="000000"/>
          <w:sz w:val="22"/>
        </w:rPr>
        <w:t xml:space="preserve">This Amendment Agreement may be executed in any number of counterparts (and by different parties hereto in separate counterparts), each of which shall constitute an original, but all of which when taken together shall constitute a single contract. Delivery of an executed counterpart of a signature page of this Amendment Agreement by facsimile or other electronic transmission will be as effective as delivery of a manually executed counterpart hereof and shall have the </w:t>
      </w:r>
    </w:p>
    <w:p>
      <w:pPr>
        <w:pStyle w:val="TextBody"/>
        <w:bidi w:val="0"/>
        <w:spacing w:before="0" w:after="24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60705"/>
                <wp:effectExtent l="0" t="0" r="0" b="0"/>
                <wp:wrapNone/>
                <wp:docPr id="125" name="Frame1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same legal effect, validity and enforceability as a paper record. For the avoidance of doubt, the authorization under this paragraph may include, without limitation, use or acceptance by the parties hereto of a manually signed paper communication which has been converted into electronic form (such as scanned into .pdf format), or an electronically signed communication converted into another format, for transmission, delivery and/or retention and, for the further avoidance of doubt, the words “execution,” “signed,” “signature,” “delivery,” and words of like import in or relating to this Amendment Agreement shall be deemed to include electronic signatures, deliveries or the keeping of records in electronic form, each of which shall be of the same legal effect, validity and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pStyle w:val="TextBody"/>
        <w:bidi w:val="0"/>
        <w:spacing w:lineRule="auto" w:line="288" w:before="0" w:after="240"/>
        <w:ind w:left="0" w:right="0" w:firstLine="720"/>
        <w:jc w:val="left"/>
        <w:rPr/>
      </w:pPr>
      <w:r>
        <w:rPr>
          <w:rFonts w:ascii="Times New Roman;sans-serif" w:hAnsi="Times New Roman;sans-serif"/>
          <w:b/>
          <w:i/>
          <w:color w:val="000000"/>
          <w:sz w:val="22"/>
        </w:rPr>
        <w:t>Section 7</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Headings</w:t>
      </w:r>
      <w:r>
        <w:rPr>
          <w:rFonts w:ascii="Times New Roman;sans-serif" w:hAnsi="Times New Roman;sans-serif"/>
          <w:b w:val="false"/>
          <w:color w:val="000000"/>
          <w:sz w:val="22"/>
        </w:rPr>
        <w:t>. Section headings in this Amendment Agreement are for convenience of reference only, and shall not govern the interpretation of any of the provisions of this Amendment Agreement.</w:t>
      </w:r>
    </w:p>
    <w:p>
      <w:pPr>
        <w:pStyle w:val="TextBody"/>
        <w:bidi w:val="0"/>
        <w:spacing w:lineRule="auto" w:line="288" w:before="0" w:after="240"/>
        <w:ind w:left="0" w:right="0" w:firstLine="720"/>
        <w:jc w:val="left"/>
        <w:rPr/>
      </w:pPr>
      <w:r>
        <w:rPr>
          <w:rFonts w:ascii="Times New Roman;sans-serif" w:hAnsi="Times New Roman;sans-serif"/>
          <w:b/>
          <w:i/>
          <w:color w:val="000000"/>
          <w:sz w:val="22"/>
        </w:rPr>
        <w:t>Section 8</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Severability</w:t>
      </w:r>
      <w:r>
        <w:rPr>
          <w:rFonts w:ascii="Times New Roman;sans-serif" w:hAnsi="Times New Roman;sans-serif"/>
          <w:b w:val="false"/>
          <w:color w:val="000000"/>
          <w:sz w:val="22"/>
        </w:rPr>
        <w:t>. Any provision of this Amendment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lineRule="auto" w:line="288" w:before="0" w:after="240"/>
        <w:jc w:val="center"/>
        <w:rPr>
          <w:rFonts w:ascii="Times New Roman;sans-serif" w:hAnsi="Times New Roman;sans-serif"/>
          <w:b w:val="false"/>
          <w:i/>
          <w:color w:val="000000"/>
          <w:sz w:val="22"/>
        </w:rPr>
      </w:pPr>
      <w:r>
        <w:rPr>
          <w:rFonts w:ascii="Times New Roman;sans-serif" w:hAnsi="Times New Roman;sans-serif"/>
          <w:b w:val="false"/>
          <w:i/>
          <w:color w:val="000000"/>
          <w:sz w:val="22"/>
        </w:rPr>
        <w:t>[Remainder of page intentionally blank; 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60705"/>
                <wp:effectExtent l="0" t="0" r="0" b="0"/>
                <wp:wrapNone/>
                <wp:docPr id="126" name="Frame1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the parties hereto have executed this Amendment Agreement as of the date first written above. </w:t>
      </w:r>
    </w:p>
    <w:p>
      <w:pPr>
        <w:pStyle w:val="TextBody"/>
        <w:bidi w:val="0"/>
        <w:spacing w:before="0" w:after="240"/>
        <w:ind w:left="0" w:right="0" w:firstLine="720"/>
        <w:jc w:val="left"/>
        <w:rPr/>
      </w:pPr>
      <w:r>
        <w:rPr/>
      </w:r>
    </w:p>
    <w:tbl>
      <w:tblPr>
        <w:tblW w:w="5833" w:type="dxa"/>
        <w:jc w:val="left"/>
        <w:tblInd w:w="0" w:type="dxa"/>
        <w:tblLayout w:type="fixed"/>
        <w:tblCellMar>
          <w:top w:w="28" w:type="dxa"/>
          <w:left w:w="28" w:type="dxa"/>
          <w:bottom w:w="28" w:type="dxa"/>
          <w:right w:w="28" w:type="dxa"/>
        </w:tblCellMar>
      </w:tblPr>
      <w:tblGrid>
        <w:gridCol w:w="596"/>
        <w:gridCol w:w="525"/>
        <w:gridCol w:w="525"/>
        <w:gridCol w:w="1211"/>
        <w:gridCol w:w="1211"/>
        <w:gridCol w:w="1765"/>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5833" w:type="dxa"/>
            <w:gridSpan w:val="6"/>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NASDAQ, INC., </w:t>
              <w:br/>
              <w:t>as Borrower</w:t>
            </w:r>
          </w:p>
        </w:tc>
      </w:tr>
      <w:tr>
        <w:trPr/>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1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Sarah Youngwood</w:t>
            </w:r>
          </w:p>
        </w:tc>
      </w:tr>
      <w:tr>
        <w:trPr/>
        <w:tc>
          <w:tcPr>
            <w:tcW w:w="5833"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Sarah Youngwood</w:t>
            </w:r>
          </w:p>
        </w:tc>
      </w:tr>
      <w:tr>
        <w:trPr/>
        <w:tc>
          <w:tcPr>
            <w:tcW w:w="5833"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and Chief Financial Officer</w:t>
            </w:r>
          </w:p>
        </w:tc>
      </w:tr>
    </w:tbl>
    <w:p>
      <w:pPr>
        <w:pStyle w:val="TextBody"/>
        <w:bidi w:val="0"/>
        <w:spacing w:before="0" w:after="240"/>
        <w:ind w:left="0" w:right="0" w:firstLine="720"/>
        <w:jc w:val="left"/>
        <w:rPr/>
      </w:pPr>
      <w:r>
        <w:rPr/>
      </w:r>
    </w:p>
    <w:p>
      <w:pPr>
        <w:pStyle w:val="TextBody"/>
        <w:bidi w:val="0"/>
        <w:spacing w:before="0" w:after="283"/>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1155"/>
                <wp:effectExtent l="0" t="0" r="0" b="0"/>
                <wp:wrapNone/>
                <wp:docPr id="127" name="Frame1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tbl>
      <w:tblPr>
        <w:tblW w:w="3654" w:type="dxa"/>
        <w:jc w:val="left"/>
        <w:tblInd w:w="0" w:type="dxa"/>
        <w:tblLayout w:type="fixed"/>
        <w:tblCellMar>
          <w:top w:w="28" w:type="dxa"/>
          <w:left w:w="28" w:type="dxa"/>
          <w:bottom w:w="28" w:type="dxa"/>
          <w:right w:w="28" w:type="dxa"/>
        </w:tblCellMar>
      </w:tblPr>
      <w:tblGrid>
        <w:gridCol w:w="509"/>
        <w:gridCol w:w="448"/>
        <w:gridCol w:w="448"/>
        <w:gridCol w:w="658"/>
        <w:gridCol w:w="658"/>
        <w:gridCol w:w="933"/>
      </w:tblGrid>
      <w:tr>
        <w:trPr/>
        <w:tc>
          <w:tcPr>
            <w:tcW w:w="5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3654"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BANK OF AMERICA, N.A., </w:t>
              <w:br/>
              <w:t>as Administrative Agent</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4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DeWayne D. Rosse</w:t>
            </w:r>
          </w:p>
        </w:tc>
      </w:tr>
      <w:tr>
        <w:trPr/>
        <w:tc>
          <w:tcPr>
            <w:tcW w:w="3654"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DeWayne D. Rosse</w:t>
            </w:r>
          </w:p>
        </w:tc>
      </w:tr>
      <w:tr>
        <w:trPr/>
        <w:tc>
          <w:tcPr>
            <w:tcW w:w="3654"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Assistant Vice President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22" w:type="dxa"/>
        <w:jc w:val="left"/>
        <w:tblInd w:w="0" w:type="dxa"/>
        <w:tblLayout w:type="fixed"/>
        <w:tblCellMar>
          <w:top w:w="28" w:type="dxa"/>
          <w:left w:w="28" w:type="dxa"/>
          <w:bottom w:w="28" w:type="dxa"/>
          <w:right w:w="28" w:type="dxa"/>
        </w:tblCellMar>
      </w:tblPr>
      <w:tblGrid>
        <w:gridCol w:w="508"/>
        <w:gridCol w:w="447"/>
        <w:gridCol w:w="447"/>
        <w:gridCol w:w="559"/>
        <w:gridCol w:w="559"/>
        <w:gridCol w:w="802"/>
      </w:tblGrid>
      <w:tr>
        <w:trPr/>
        <w:tc>
          <w:tcPr>
            <w:tcW w:w="5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3322"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BANK OF AMERICA, N.A., </w:t>
              <w:br/>
              <w:t>as a Lender</w:t>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Sherman Wong</w:t>
            </w:r>
          </w:p>
        </w:tc>
      </w:tr>
      <w:tr>
        <w:trPr/>
        <w:tc>
          <w:tcPr>
            <w:tcW w:w="3322"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Sherman Wong</w:t>
            </w:r>
          </w:p>
        </w:tc>
      </w:tr>
      <w:tr>
        <w:trPr/>
        <w:tc>
          <w:tcPr>
            <w:tcW w:w="3322"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r>
        <w:trPr/>
        <w:tc>
          <w:tcPr>
            <w:tcW w:w="3322" w:type="dxa"/>
            <w:gridSpan w:val="6"/>
            <w:tcBorders/>
            <w:tcMar>
              <w:top w:w="0" w:type="dxa"/>
              <w:left w:w="0" w:type="dxa"/>
              <w:bottom w:w="0" w:type="dxa"/>
              <w:right w:w="0" w:type="dxa"/>
            </w:tcMar>
            <w:vAlign w:val="center"/>
          </w:tcPr>
          <w:p>
            <w:pPr>
              <w:pStyle w:val="TableContents"/>
              <w:bidi w:val="0"/>
              <w:spacing w:before="0" w:after="480"/>
              <w:jc w:val="left"/>
              <w:rPr/>
            </w:pPr>
            <w:r>
              <w:rPr/>
            </w:r>
          </w:p>
          <w:p>
            <w:pPr>
              <w:pStyle w:val="TableContents"/>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BOFA SECURITIES, INC., </w:t>
              <w:br/>
              <w:t>as Sustainability Coordinator</w:t>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Andrew Stinson</w:t>
            </w:r>
          </w:p>
        </w:tc>
      </w:tr>
      <w:tr>
        <w:trPr/>
        <w:tc>
          <w:tcPr>
            <w:tcW w:w="3322"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Andrew Stinson</w:t>
            </w:r>
          </w:p>
        </w:tc>
      </w:tr>
      <w:tr>
        <w:trPr/>
        <w:tc>
          <w:tcPr>
            <w:tcW w:w="3322"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r>
        <w:trPr/>
        <w:tc>
          <w:tcPr>
            <w:tcW w:w="3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1155"/>
                <wp:effectExtent l="0" t="0" r="0" b="0"/>
                <wp:wrapNone/>
                <wp:docPr id="128" name="Frame1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tbl>
      <w:tblPr>
        <w:tblW w:w="4328" w:type="dxa"/>
        <w:jc w:val="left"/>
        <w:tblInd w:w="0" w:type="dxa"/>
        <w:tblLayout w:type="fixed"/>
        <w:tblCellMar>
          <w:top w:w="28" w:type="dxa"/>
          <w:left w:w="28" w:type="dxa"/>
          <w:bottom w:w="28" w:type="dxa"/>
          <w:right w:w="28" w:type="dxa"/>
        </w:tblCellMar>
      </w:tblPr>
      <w:tblGrid>
        <w:gridCol w:w="619"/>
        <w:gridCol w:w="542"/>
        <w:gridCol w:w="542"/>
        <w:gridCol w:w="762"/>
        <w:gridCol w:w="762"/>
        <w:gridCol w:w="1101"/>
      </w:tblGrid>
      <w:tr>
        <w:trPr/>
        <w:tc>
          <w:tcPr>
            <w:tcW w:w="61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4328" w:type="dxa"/>
            <w:gridSpan w:val="6"/>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JPMORGAN CHASE BANK, N.A., </w:t>
              <w:br/>
              <w:t>as a Lender</w:t>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62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Jennifer M. Dunneback</w:t>
            </w:r>
          </w:p>
        </w:tc>
      </w:tr>
      <w:tr>
        <w:trPr/>
        <w:tc>
          <w:tcPr>
            <w:tcW w:w="4328"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Jennifer M. Dunneback</w:t>
            </w:r>
          </w:p>
        </w:tc>
      </w:tr>
      <w:tr>
        <w:trPr/>
        <w:tc>
          <w:tcPr>
            <w:tcW w:w="4328"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pStyle w:val="TextBody"/>
        <w:bidi w:val="0"/>
        <w:ind w:left="0" w:right="0" w:hanging="72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1155"/>
                <wp:effectExtent l="0" t="0" r="0" b="0"/>
                <wp:wrapNone/>
                <wp:docPr id="129" name="Frame1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left"/>
        <w:rPr/>
      </w:pPr>
      <w:r>
        <w:rPr/>
      </w:r>
    </w:p>
    <w:tbl>
      <w:tblPr>
        <w:tblW w:w="3404" w:type="dxa"/>
        <w:jc w:val="left"/>
        <w:tblInd w:w="0" w:type="dxa"/>
        <w:tblLayout w:type="fixed"/>
        <w:tblCellMar>
          <w:top w:w="28" w:type="dxa"/>
          <w:left w:w="28" w:type="dxa"/>
          <w:bottom w:w="28" w:type="dxa"/>
          <w:right w:w="28" w:type="dxa"/>
        </w:tblCellMar>
      </w:tblPr>
      <w:tblGrid>
        <w:gridCol w:w="424"/>
        <w:gridCol w:w="373"/>
        <w:gridCol w:w="373"/>
        <w:gridCol w:w="653"/>
        <w:gridCol w:w="653"/>
        <w:gridCol w:w="928"/>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3404" w:type="dxa"/>
            <w:gridSpan w:val="6"/>
            <w:tcBorders/>
            <w:tcMar>
              <w:top w:w="0" w:type="dxa"/>
              <w:left w:w="0" w:type="dxa"/>
              <w:bottom w:w="0" w:type="dxa"/>
              <w:right w:w="0" w:type="dxa"/>
            </w:tcMar>
            <w:vAlign w:val="center"/>
          </w:tcPr>
          <w:p>
            <w:pPr>
              <w:pStyle w:val="TableContents"/>
              <w:bidi w:val="0"/>
              <w:spacing w:before="0" w:after="0"/>
              <w:ind w:left="0" w:right="0" w:hanging="720"/>
              <w:jc w:val="left"/>
              <w:rPr/>
            </w:pPr>
            <w:r>
              <w:rPr/>
            </w:r>
          </w:p>
        </w:tc>
      </w:tr>
      <w:tr>
        <w:trPr/>
        <w:tc>
          <w:tcPr>
            <w:tcW w:w="3404"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MIZUHO BANK, LTD. </w:t>
              <w:br/>
              <w:t>as a Lender</w:t>
            </w:r>
          </w:p>
        </w:tc>
      </w:tr>
      <w:tr>
        <w:trPr/>
        <w:tc>
          <w:tcPr>
            <w:tcW w:w="117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34"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Donna DeMagistris</w:t>
            </w:r>
          </w:p>
        </w:tc>
      </w:tr>
      <w:tr>
        <w:trPr/>
        <w:tc>
          <w:tcPr>
            <w:tcW w:w="3404"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Donna De Magistris</w:t>
            </w:r>
          </w:p>
        </w:tc>
      </w:tr>
      <w:tr>
        <w:trPr/>
        <w:tc>
          <w:tcPr>
            <w:tcW w:w="3404"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1155"/>
                <wp:effectExtent l="0" t="0" r="0" b="0"/>
                <wp:wrapNone/>
                <wp:docPr id="130" name="Frame1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tbl>
      <w:tblPr>
        <w:tblW w:w="5906" w:type="dxa"/>
        <w:jc w:val="left"/>
        <w:tblInd w:w="0" w:type="dxa"/>
        <w:tblLayout w:type="fixed"/>
        <w:tblCellMar>
          <w:top w:w="28" w:type="dxa"/>
          <w:left w:w="28" w:type="dxa"/>
          <w:bottom w:w="28" w:type="dxa"/>
          <w:right w:w="28" w:type="dxa"/>
        </w:tblCellMar>
      </w:tblPr>
      <w:tblGrid>
        <w:gridCol w:w="1024"/>
        <w:gridCol w:w="895"/>
        <w:gridCol w:w="895"/>
        <w:gridCol w:w="895"/>
        <w:gridCol w:w="895"/>
        <w:gridCol w:w="1302"/>
      </w:tblGrid>
      <w:tr>
        <w:trPr/>
        <w:tc>
          <w:tcPr>
            <w:tcW w:w="102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5906" w:type="dxa"/>
            <w:gridSpan w:val="6"/>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NORDEA BANK ABP, NEW YORK BRANCH., as a Lender</w:t>
            </w:r>
          </w:p>
        </w:tc>
      </w:tr>
      <w:tr>
        <w:trPr/>
        <w:tc>
          <w:tcPr>
            <w:tcW w:w="2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9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Rikard Gruvberg</w:t>
            </w:r>
          </w:p>
        </w:tc>
      </w:tr>
      <w:tr>
        <w:trPr/>
        <w:tc>
          <w:tcPr>
            <w:tcW w:w="5906"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Rikard Gruvberg</w:t>
            </w:r>
          </w:p>
        </w:tc>
      </w:tr>
      <w:tr>
        <w:trPr/>
        <w:tc>
          <w:tcPr>
            <w:tcW w:w="5906"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Head of PE&amp;II Americas</w:t>
            </w:r>
          </w:p>
        </w:tc>
      </w:tr>
    </w:tbl>
    <w:p>
      <w:pPr>
        <w:pStyle w:val="TextBody"/>
        <w:bidi w:val="0"/>
        <w:spacing w:before="0" w:after="240"/>
        <w:jc w:val="center"/>
        <w:rPr/>
      </w:pPr>
      <w:r>
        <w:rPr/>
      </w:r>
    </w:p>
    <w:tbl>
      <w:tblPr>
        <w:tblW w:w="2773" w:type="dxa"/>
        <w:jc w:val="left"/>
        <w:tblInd w:w="0" w:type="dxa"/>
        <w:tblLayout w:type="fixed"/>
        <w:tblCellMar>
          <w:top w:w="28" w:type="dxa"/>
          <w:left w:w="28" w:type="dxa"/>
          <w:bottom w:w="28" w:type="dxa"/>
          <w:right w:w="28" w:type="dxa"/>
        </w:tblCellMar>
      </w:tblPr>
      <w:tblGrid>
        <w:gridCol w:w="195"/>
        <w:gridCol w:w="172"/>
        <w:gridCol w:w="175"/>
        <w:gridCol w:w="653"/>
        <w:gridCol w:w="653"/>
        <w:gridCol w:w="925"/>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3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Ursula Mackey</w:t>
            </w:r>
          </w:p>
        </w:tc>
      </w:tr>
      <w:tr>
        <w:trPr/>
        <w:tc>
          <w:tcPr>
            <w:tcW w:w="2773"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Ursula Mackey</w:t>
            </w:r>
          </w:p>
        </w:tc>
      </w:tr>
      <w:tr>
        <w:trPr/>
        <w:tc>
          <w:tcPr>
            <w:tcW w:w="2773"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First Vice PResident</w:t>
            </w:r>
          </w:p>
        </w:tc>
      </w:tr>
    </w:tbl>
    <w:p>
      <w:pPr>
        <w:pStyle w:val="TextBody"/>
        <w:bidi w:val="0"/>
        <w:spacing w:before="0" w:after="24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1155"/>
                <wp:effectExtent l="0" t="0" r="0" b="0"/>
                <wp:wrapNone/>
                <wp:docPr id="131" name="Frame1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tbl>
      <w:tblPr>
        <w:tblW w:w="6581" w:type="dxa"/>
        <w:jc w:val="left"/>
        <w:tblInd w:w="0" w:type="dxa"/>
        <w:tblLayout w:type="fixed"/>
        <w:tblCellMar>
          <w:top w:w="28" w:type="dxa"/>
          <w:left w:w="28" w:type="dxa"/>
          <w:bottom w:w="28" w:type="dxa"/>
          <w:right w:w="28" w:type="dxa"/>
        </w:tblCellMar>
      </w:tblPr>
      <w:tblGrid>
        <w:gridCol w:w="1140"/>
        <w:gridCol w:w="1002"/>
        <w:gridCol w:w="1002"/>
        <w:gridCol w:w="1002"/>
        <w:gridCol w:w="1002"/>
        <w:gridCol w:w="1433"/>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6581" w:type="dxa"/>
            <w:gridSpan w:val="6"/>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SKANDINAVISKA ENSKILDA BANKEN AB (PUBL), as a Lender</w:t>
            </w:r>
          </w:p>
        </w:tc>
      </w:tr>
      <w:tr>
        <w:trPr/>
        <w:tc>
          <w:tcPr>
            <w:tcW w:w="3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3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Penny Neville-Park</w:t>
            </w:r>
          </w:p>
        </w:tc>
      </w:tr>
      <w:tr>
        <w:trPr/>
        <w:tc>
          <w:tcPr>
            <w:tcW w:w="6581"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Penny Neville-Park</w:t>
            </w:r>
          </w:p>
        </w:tc>
      </w:tr>
      <w:tr>
        <w:trPr/>
        <w:tc>
          <w:tcPr>
            <w:tcW w:w="6581"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Authorized Signatory </w:t>
            </w:r>
          </w:p>
        </w:tc>
      </w:tr>
    </w:tbl>
    <w:p>
      <w:pPr>
        <w:pStyle w:val="TextBody"/>
        <w:bidi w:val="0"/>
        <w:spacing w:before="0" w:after="240"/>
        <w:jc w:val="center"/>
        <w:rPr/>
      </w:pPr>
      <w:r>
        <w:rPr/>
      </w:r>
    </w:p>
    <w:tbl>
      <w:tblPr>
        <w:tblW w:w="2953" w:type="dxa"/>
        <w:jc w:val="left"/>
        <w:tblInd w:w="0" w:type="dxa"/>
        <w:tblLayout w:type="fixed"/>
        <w:tblCellMar>
          <w:top w:w="28" w:type="dxa"/>
          <w:left w:w="28" w:type="dxa"/>
          <w:bottom w:w="28" w:type="dxa"/>
          <w:right w:w="28" w:type="dxa"/>
        </w:tblCellMar>
      </w:tblPr>
      <w:tblGrid>
        <w:gridCol w:w="227"/>
        <w:gridCol w:w="201"/>
        <w:gridCol w:w="203"/>
        <w:gridCol w:w="680"/>
        <w:gridCol w:w="680"/>
        <w:gridCol w:w="962"/>
      </w:tblGrid>
      <w:tr>
        <w:trPr/>
        <w:tc>
          <w:tcPr>
            <w:tcW w:w="2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32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Chris Yianna</w:t>
            </w:r>
          </w:p>
        </w:tc>
      </w:tr>
      <w:tr>
        <w:trPr/>
        <w:tc>
          <w:tcPr>
            <w:tcW w:w="2953"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Chris Yianna</w:t>
            </w:r>
          </w:p>
        </w:tc>
      </w:tr>
      <w:tr>
        <w:trPr/>
        <w:tc>
          <w:tcPr>
            <w:tcW w:w="2953"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Authorized Signatory </w:t>
            </w:r>
          </w:p>
        </w:tc>
      </w:tr>
    </w:tbl>
    <w:p>
      <w:pPr>
        <w:pStyle w:val="TextBody"/>
        <w:bidi w:val="0"/>
        <w:spacing w:before="0" w:after="24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1155"/>
                <wp:effectExtent l="0" t="0" r="0" b="0"/>
                <wp:wrapNone/>
                <wp:docPr id="132" name="Frame1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tbl>
      <w:tblPr>
        <w:tblW w:w="6477" w:type="dxa"/>
        <w:jc w:val="left"/>
        <w:tblInd w:w="0" w:type="dxa"/>
        <w:tblLayout w:type="fixed"/>
        <w:tblCellMar>
          <w:top w:w="28" w:type="dxa"/>
          <w:left w:w="28" w:type="dxa"/>
          <w:bottom w:w="28" w:type="dxa"/>
          <w:right w:w="28" w:type="dxa"/>
        </w:tblCellMar>
      </w:tblPr>
      <w:tblGrid>
        <w:gridCol w:w="1124"/>
        <w:gridCol w:w="986"/>
        <w:gridCol w:w="986"/>
        <w:gridCol w:w="986"/>
        <w:gridCol w:w="986"/>
        <w:gridCol w:w="1409"/>
      </w:tblGrid>
      <w:tr>
        <w:trPr/>
        <w:tc>
          <w:tcPr>
            <w:tcW w:w="112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6477" w:type="dxa"/>
            <w:gridSpan w:val="6"/>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 as a Lender</w:t>
            </w:r>
          </w:p>
        </w:tc>
      </w:tr>
      <w:tr>
        <w:trPr/>
        <w:tc>
          <w:tcPr>
            <w:tcW w:w="3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38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Nikolas Broschofsky</w:t>
            </w:r>
          </w:p>
        </w:tc>
      </w:tr>
      <w:tr>
        <w:trPr/>
        <w:tc>
          <w:tcPr>
            <w:tcW w:w="6477"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Nikolas Broschofsky</w:t>
            </w:r>
          </w:p>
        </w:tc>
      </w:tr>
      <w:tr>
        <w:trPr/>
        <w:tc>
          <w:tcPr>
            <w:tcW w:w="6477"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Director </w:t>
            </w:r>
          </w:p>
        </w:tc>
      </w:tr>
    </w:tbl>
    <w:p>
      <w:pPr>
        <w:pStyle w:val="TextBody"/>
        <w:bidi w:val="0"/>
        <w:spacing w:before="0" w:after="24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1155"/>
                <wp:effectExtent l="0" t="0" r="0" b="0"/>
                <wp:wrapNone/>
                <wp:docPr id="133" name="Frame1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tbl>
      <w:tblPr>
        <w:tblW w:w="3659" w:type="dxa"/>
        <w:jc w:val="left"/>
        <w:tblInd w:w="0" w:type="dxa"/>
        <w:tblLayout w:type="fixed"/>
        <w:tblCellMar>
          <w:top w:w="28" w:type="dxa"/>
          <w:left w:w="28" w:type="dxa"/>
          <w:bottom w:w="28" w:type="dxa"/>
          <w:right w:w="28" w:type="dxa"/>
        </w:tblCellMar>
      </w:tblPr>
      <w:tblGrid>
        <w:gridCol w:w="522"/>
        <w:gridCol w:w="459"/>
        <w:gridCol w:w="459"/>
        <w:gridCol w:w="647"/>
        <w:gridCol w:w="647"/>
        <w:gridCol w:w="925"/>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659" w:type="dxa"/>
            <w:gridSpan w:val="6"/>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CITIBANK, N.A., as a Lender</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Seidenfeld</w:t>
            </w:r>
          </w:p>
        </w:tc>
      </w:tr>
      <w:tr>
        <w:trPr/>
        <w:tc>
          <w:tcPr>
            <w:tcW w:w="3659"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Michael Seidenfeld</w:t>
            </w:r>
          </w:p>
        </w:tc>
      </w:tr>
      <w:tr>
        <w:trPr/>
        <w:tc>
          <w:tcPr>
            <w:tcW w:w="3659"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Vice President </w:t>
            </w:r>
          </w:p>
        </w:tc>
      </w:tr>
    </w:tbl>
    <w:p>
      <w:pPr>
        <w:pStyle w:val="TextBody"/>
        <w:bidi w:val="0"/>
        <w:spacing w:before="0" w:after="24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1155"/>
                <wp:effectExtent l="0" t="0" r="0" b="0"/>
                <wp:wrapNone/>
                <wp:docPr id="134" name="Frame1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tbl>
      <w:tblPr>
        <w:tblW w:w="4281" w:type="dxa"/>
        <w:jc w:val="left"/>
        <w:tblInd w:w="0" w:type="dxa"/>
        <w:tblLayout w:type="fixed"/>
        <w:tblCellMar>
          <w:top w:w="28" w:type="dxa"/>
          <w:left w:w="28" w:type="dxa"/>
          <w:bottom w:w="28" w:type="dxa"/>
          <w:right w:w="28" w:type="dxa"/>
        </w:tblCellMar>
      </w:tblPr>
      <w:tblGrid>
        <w:gridCol w:w="677"/>
        <w:gridCol w:w="595"/>
        <w:gridCol w:w="595"/>
        <w:gridCol w:w="707"/>
        <w:gridCol w:w="707"/>
        <w:gridCol w:w="1000"/>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4281" w:type="dxa"/>
            <w:gridSpan w:val="6"/>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Bank USA, as a Lender</w:t>
            </w:r>
          </w:p>
        </w:tc>
      </w:tr>
      <w:tr>
        <w:trPr/>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Priyankush Goswami</w:t>
            </w:r>
          </w:p>
        </w:tc>
      </w:tr>
      <w:tr>
        <w:trPr/>
        <w:tc>
          <w:tcPr>
            <w:tcW w:w="4281"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Priyankush Goswami</w:t>
            </w:r>
          </w:p>
        </w:tc>
      </w:tr>
      <w:tr>
        <w:trPr/>
        <w:tc>
          <w:tcPr>
            <w:tcW w:w="4281"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r>
    </w:tbl>
    <w:p>
      <w:pPr>
        <w:pStyle w:val="TextBody"/>
        <w:bidi w:val="0"/>
        <w:spacing w:before="0" w:after="24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1155"/>
                <wp:effectExtent l="0" t="0" r="0" b="0"/>
                <wp:wrapNone/>
                <wp:docPr id="135" name="Frame1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tbl>
      <w:tblPr>
        <w:tblW w:w="3583" w:type="dxa"/>
        <w:jc w:val="left"/>
        <w:tblInd w:w="0" w:type="dxa"/>
        <w:tblLayout w:type="fixed"/>
        <w:tblCellMar>
          <w:top w:w="28" w:type="dxa"/>
          <w:left w:w="28" w:type="dxa"/>
          <w:bottom w:w="28" w:type="dxa"/>
          <w:right w:w="28" w:type="dxa"/>
        </w:tblCellMar>
      </w:tblPr>
      <w:tblGrid>
        <w:gridCol w:w="622"/>
        <w:gridCol w:w="547"/>
        <w:gridCol w:w="547"/>
        <w:gridCol w:w="547"/>
        <w:gridCol w:w="547"/>
        <w:gridCol w:w="773"/>
      </w:tblGrid>
      <w:tr>
        <w:trPr/>
        <w:tc>
          <w:tcPr>
            <w:tcW w:w="6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583" w:type="dxa"/>
            <w:gridSpan w:val="6"/>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HSBC Bank USA, N.A., as a Lender</w:t>
            </w:r>
          </w:p>
        </w:tc>
      </w:tr>
      <w:tr>
        <w:trPr/>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86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James Stovell</w:t>
            </w:r>
          </w:p>
        </w:tc>
      </w:tr>
      <w:tr>
        <w:trPr/>
        <w:tc>
          <w:tcPr>
            <w:tcW w:w="3583"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James Stovell</w:t>
            </w:r>
          </w:p>
        </w:tc>
      </w:tr>
      <w:tr>
        <w:trPr/>
        <w:tc>
          <w:tcPr>
            <w:tcW w:w="3583"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 Fintech Coverage</w:t>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1155"/>
                <wp:effectExtent l="0" t="0" r="0" b="0"/>
                <wp:wrapNone/>
                <wp:docPr id="136" name="Frame1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tbl>
      <w:tblPr>
        <w:tblW w:w="7889" w:type="dxa"/>
        <w:jc w:val="left"/>
        <w:tblInd w:w="0" w:type="dxa"/>
        <w:tblLayout w:type="fixed"/>
        <w:tblCellMar>
          <w:top w:w="28" w:type="dxa"/>
          <w:left w:w="28" w:type="dxa"/>
          <w:bottom w:w="28" w:type="dxa"/>
          <w:right w:w="28" w:type="dxa"/>
        </w:tblCellMar>
      </w:tblPr>
      <w:tblGrid>
        <w:gridCol w:w="1367"/>
        <w:gridCol w:w="1201"/>
        <w:gridCol w:w="1201"/>
        <w:gridCol w:w="1201"/>
        <w:gridCol w:w="1201"/>
        <w:gridCol w:w="1718"/>
      </w:tblGrid>
      <w:tr>
        <w:trPr/>
        <w:tc>
          <w:tcPr>
            <w:tcW w:w="136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7889" w:type="dxa"/>
            <w:gridSpan w:val="6"/>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Industrial and Commercial Bank of China Limited, New York Branch, as a Lender</w:t>
            </w:r>
          </w:p>
        </w:tc>
      </w:tr>
      <w:tr>
        <w:trPr/>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1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Xuan Zhang</w:t>
            </w:r>
          </w:p>
        </w:tc>
      </w:tr>
      <w:tr>
        <w:trPr/>
        <w:tc>
          <w:tcPr>
            <w:tcW w:w="7889"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Xuan Zhang</w:t>
            </w:r>
          </w:p>
        </w:tc>
      </w:tr>
      <w:tr>
        <w:trPr/>
        <w:tc>
          <w:tcPr>
            <w:tcW w:w="7889"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AVP</w:t>
            </w:r>
          </w:p>
        </w:tc>
      </w:tr>
      <w:tr>
        <w:trPr/>
        <w:tc>
          <w:tcPr>
            <w:tcW w:w="7889" w:type="dxa"/>
            <w:gridSpan w:val="6"/>
            <w:tcBorders/>
            <w:tcMar>
              <w:top w:w="0" w:type="dxa"/>
              <w:left w:w="0" w:type="dxa"/>
              <w:bottom w:w="0" w:type="dxa"/>
              <w:right w:w="0" w:type="dxa"/>
            </w:tcMar>
            <w:vAlign w:val="center"/>
          </w:tcPr>
          <w:p>
            <w:pPr>
              <w:pStyle w:val="TableContents"/>
              <w:bidi w:val="0"/>
              <w:spacing w:before="0" w:after="0"/>
              <w:ind w:left="0" w:right="0" w:hanging="720"/>
              <w:jc w:val="left"/>
              <w:rPr/>
            </w:pPr>
            <w:r>
              <w:rPr/>
            </w:r>
          </w:p>
        </w:tc>
      </w:tr>
      <w:tr>
        <w:trPr/>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1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Pinyen Shih</w:t>
            </w:r>
          </w:p>
        </w:tc>
      </w:tr>
      <w:tr>
        <w:trPr/>
        <w:tc>
          <w:tcPr>
            <w:tcW w:w="7889"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Pinyen Shih</w:t>
            </w:r>
          </w:p>
        </w:tc>
      </w:tr>
      <w:tr>
        <w:trPr/>
        <w:tc>
          <w:tcPr>
            <w:tcW w:w="7889"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pStyle w:val="TextBody"/>
        <w:bidi w:val="0"/>
        <w:ind w:left="0" w:right="0" w:hanging="72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1155"/>
                <wp:effectExtent l="0" t="0" r="0" b="0"/>
                <wp:wrapNone/>
                <wp:docPr id="137" name="Frame1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left"/>
        <w:rPr/>
      </w:pPr>
      <w:r>
        <w:rPr/>
      </w:r>
    </w:p>
    <w:tbl>
      <w:tblPr>
        <w:tblW w:w="4723" w:type="dxa"/>
        <w:jc w:val="left"/>
        <w:tblInd w:w="0" w:type="dxa"/>
        <w:tblLayout w:type="fixed"/>
        <w:tblCellMar>
          <w:top w:w="28" w:type="dxa"/>
          <w:left w:w="28" w:type="dxa"/>
          <w:bottom w:w="28" w:type="dxa"/>
          <w:right w:w="28" w:type="dxa"/>
        </w:tblCellMar>
      </w:tblPr>
      <w:tblGrid>
        <w:gridCol w:w="820"/>
        <w:gridCol w:w="721"/>
        <w:gridCol w:w="721"/>
        <w:gridCol w:w="721"/>
        <w:gridCol w:w="721"/>
        <w:gridCol w:w="1019"/>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4723" w:type="dxa"/>
            <w:gridSpan w:val="6"/>
            <w:tcBorders/>
            <w:tcMar>
              <w:top w:w="0" w:type="dxa"/>
              <w:left w:w="0" w:type="dxa"/>
              <w:bottom w:w="0" w:type="dxa"/>
              <w:right w:w="0" w:type="dxa"/>
            </w:tcMar>
            <w:vAlign w:val="center"/>
          </w:tcPr>
          <w:p>
            <w:pPr>
              <w:pStyle w:val="TableContents"/>
              <w:bidi w:val="0"/>
              <w:spacing w:before="0" w:after="0"/>
              <w:ind w:left="0" w:right="0" w:hanging="720"/>
              <w:jc w:val="left"/>
              <w:rPr/>
            </w:pPr>
            <w:r>
              <w:rPr/>
            </w:r>
          </w:p>
        </w:tc>
      </w:tr>
      <w:tr>
        <w:trPr/>
        <w:tc>
          <w:tcPr>
            <w:tcW w:w="4723"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BANK, N.A., as a Lender</w:t>
            </w:r>
          </w:p>
        </w:tc>
      </w:tr>
      <w:tr>
        <w:trPr/>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Kwabo</w:t>
            </w:r>
          </w:p>
        </w:tc>
      </w:tr>
      <w:tr>
        <w:trPr/>
        <w:tc>
          <w:tcPr>
            <w:tcW w:w="4723"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Michael Kwabo</w:t>
            </w:r>
          </w:p>
        </w:tc>
      </w:tr>
      <w:tr>
        <w:trPr/>
        <w:tc>
          <w:tcPr>
            <w:tcW w:w="4723"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r>
    </w:tbl>
    <w:p>
      <w:pPr>
        <w:pStyle w:val="TextBody"/>
        <w:bidi w:val="0"/>
        <w:ind w:left="0" w:right="0" w:hanging="72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1155"/>
                <wp:effectExtent l="0" t="0" r="0" b="0"/>
                <wp:wrapNone/>
                <wp:docPr id="138" name="Frame1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left"/>
        <w:rPr/>
      </w:pPr>
      <w:r>
        <w:rPr/>
      </w:r>
    </w:p>
    <w:tbl>
      <w:tblPr>
        <w:tblW w:w="9778" w:type="dxa"/>
        <w:jc w:val="left"/>
        <w:tblInd w:w="0" w:type="dxa"/>
        <w:tblLayout w:type="fixed"/>
        <w:tblCellMar>
          <w:top w:w="28" w:type="dxa"/>
          <w:left w:w="28" w:type="dxa"/>
          <w:bottom w:w="28" w:type="dxa"/>
          <w:right w:w="28" w:type="dxa"/>
        </w:tblCellMar>
      </w:tblPr>
      <w:tblGrid>
        <w:gridCol w:w="1696"/>
        <w:gridCol w:w="1486"/>
        <w:gridCol w:w="1486"/>
        <w:gridCol w:w="1486"/>
        <w:gridCol w:w="1486"/>
        <w:gridCol w:w="2138"/>
      </w:tblGrid>
      <w:tr>
        <w:trPr/>
        <w:tc>
          <w:tcPr>
            <w:tcW w:w="16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9778" w:type="dxa"/>
            <w:gridSpan w:val="6"/>
            <w:tcBorders/>
            <w:tcMar>
              <w:top w:w="0" w:type="dxa"/>
              <w:left w:w="0" w:type="dxa"/>
              <w:bottom w:w="0" w:type="dxa"/>
              <w:right w:w="0" w:type="dxa"/>
            </w:tcMar>
            <w:vAlign w:val="center"/>
          </w:tcPr>
          <w:p>
            <w:pPr>
              <w:pStyle w:val="TableContents"/>
              <w:bidi w:val="0"/>
              <w:spacing w:before="0" w:after="0"/>
              <w:ind w:left="0" w:right="0" w:hanging="720"/>
              <w:jc w:val="left"/>
              <w:rPr/>
            </w:pPr>
            <w:r>
              <w:rPr/>
            </w:r>
          </w:p>
        </w:tc>
      </w:tr>
      <w:tr>
        <w:trPr/>
        <w:tc>
          <w:tcPr>
            <w:tcW w:w="9778"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SVENSKA HANDELSBANKEN AB (PUBL), NEW YORK BRANCH, New York Branch, as a Lender</w:t>
            </w:r>
          </w:p>
        </w:tc>
      </w:tr>
      <w:tr>
        <w:trPr/>
        <w:tc>
          <w:tcPr>
            <w:tcW w:w="4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1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 Beatrice Wassing </w:t>
            </w:r>
          </w:p>
        </w:tc>
      </w:tr>
      <w:tr>
        <w:trPr/>
        <w:tc>
          <w:tcPr>
            <w:tcW w:w="9778"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Beatrice Wassing</w:t>
            </w:r>
          </w:p>
        </w:tc>
      </w:tr>
      <w:tr>
        <w:trPr/>
        <w:tc>
          <w:tcPr>
            <w:tcW w:w="9778"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r>
        <w:trPr/>
        <w:tc>
          <w:tcPr>
            <w:tcW w:w="9778" w:type="dxa"/>
            <w:gridSpan w:val="6"/>
            <w:tcBorders/>
            <w:tcMar>
              <w:top w:w="0" w:type="dxa"/>
              <w:left w:w="0" w:type="dxa"/>
              <w:bottom w:w="0" w:type="dxa"/>
              <w:right w:w="0" w:type="dxa"/>
            </w:tcMar>
            <w:vAlign w:val="center"/>
          </w:tcPr>
          <w:p>
            <w:pPr>
              <w:pStyle w:val="TableContents"/>
              <w:bidi w:val="0"/>
              <w:spacing w:before="0" w:after="0"/>
              <w:ind w:left="0" w:right="0" w:hanging="720"/>
              <w:jc w:val="left"/>
              <w:rPr/>
            </w:pPr>
            <w:r>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1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 Nancy D’Albert </w:t>
            </w:r>
          </w:p>
        </w:tc>
      </w:tr>
      <w:tr>
        <w:trPr/>
        <w:tc>
          <w:tcPr>
            <w:tcW w:w="9778"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Nancy D’albert</w:t>
            </w:r>
          </w:p>
        </w:tc>
      </w:tr>
      <w:tr>
        <w:trPr/>
        <w:tc>
          <w:tcPr>
            <w:tcW w:w="9778"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Vice President </w:t>
            </w:r>
          </w:p>
        </w:tc>
      </w:tr>
    </w:tbl>
    <w:p>
      <w:pPr>
        <w:pStyle w:val="TextBody"/>
        <w:bidi w:val="0"/>
        <w:ind w:left="0" w:right="0" w:hanging="72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1155"/>
                <wp:effectExtent l="0" t="0" r="0" b="0"/>
                <wp:wrapNone/>
                <wp:docPr id="139" name="Frame1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left"/>
        <w:rPr/>
      </w:pPr>
      <w:r>
        <w:rPr/>
      </w:r>
    </w:p>
    <w:tbl>
      <w:tblPr>
        <w:tblW w:w="2936" w:type="dxa"/>
        <w:jc w:val="left"/>
        <w:tblInd w:w="0" w:type="dxa"/>
        <w:tblLayout w:type="fixed"/>
        <w:tblCellMar>
          <w:top w:w="28" w:type="dxa"/>
          <w:left w:w="28" w:type="dxa"/>
          <w:bottom w:w="28" w:type="dxa"/>
          <w:right w:w="28" w:type="dxa"/>
        </w:tblCellMar>
      </w:tblPr>
      <w:tblGrid>
        <w:gridCol w:w="510"/>
        <w:gridCol w:w="448"/>
        <w:gridCol w:w="448"/>
        <w:gridCol w:w="448"/>
        <w:gridCol w:w="448"/>
        <w:gridCol w:w="63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936" w:type="dxa"/>
            <w:gridSpan w:val="6"/>
            <w:tcBorders/>
            <w:tcMar>
              <w:top w:w="0" w:type="dxa"/>
              <w:left w:w="0" w:type="dxa"/>
              <w:bottom w:w="0" w:type="dxa"/>
              <w:right w:w="0" w:type="dxa"/>
            </w:tcMar>
            <w:vAlign w:val="center"/>
          </w:tcPr>
          <w:p>
            <w:pPr>
              <w:pStyle w:val="TableContents"/>
              <w:bidi w:val="0"/>
              <w:spacing w:before="0" w:after="0"/>
              <w:ind w:left="0" w:right="0" w:hanging="720"/>
              <w:jc w:val="left"/>
              <w:rPr/>
            </w:pPr>
            <w:r>
              <w:rPr/>
            </w:r>
          </w:p>
        </w:tc>
      </w:tr>
      <w:tr>
        <w:trPr/>
        <w:tc>
          <w:tcPr>
            <w:tcW w:w="2936"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TD BANK, N.A., as a Lender</w:t>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5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 Steve Levi </w:t>
            </w:r>
          </w:p>
        </w:tc>
      </w:tr>
      <w:tr>
        <w:trPr/>
        <w:tc>
          <w:tcPr>
            <w:tcW w:w="2936"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Steve Levi</w:t>
            </w:r>
          </w:p>
        </w:tc>
      </w:tr>
      <w:tr>
        <w:trPr/>
        <w:tc>
          <w:tcPr>
            <w:tcW w:w="2936" w:type="dxa"/>
            <w:gridSpan w:val="6"/>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1155"/>
                <wp:effectExtent l="0" t="0" r="0" b="0"/>
                <wp:wrapNone/>
                <wp:docPr id="140" name="Frame1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4 to Nasdaq, Inc. A&amp;R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Amended Credit Agreement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attached.]</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41"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480"/>
        <w:jc w:val="right"/>
        <w:rPr>
          <w:rFonts w:ascii="Times New Roman;sans-serif" w:hAnsi="Times New Roman;sans-serif"/>
          <w:b/>
          <w:i/>
          <w:color w:val="000000"/>
          <w:sz w:val="22"/>
        </w:rPr>
      </w:pPr>
      <w:r>
        <w:rPr>
          <w:rFonts w:ascii="Times New Roman;sans-serif" w:hAnsi="Times New Roman;sans-serif"/>
          <w:b/>
          <w:i/>
          <w:color w:val="000000"/>
          <w:sz w:val="22"/>
        </w:rPr>
        <w:t>Exhibit A</w:t>
      </w:r>
    </w:p>
    <w:tbl>
      <w:tblPr>
        <w:tblW w:w="3524" w:type="dxa"/>
        <w:jc w:val="left"/>
        <w:tblInd w:w="0" w:type="dxa"/>
        <w:tblLayout w:type="fixed"/>
        <w:tblCellMar>
          <w:top w:w="28" w:type="dxa"/>
          <w:left w:w="28" w:type="dxa"/>
          <w:bottom w:w="28" w:type="dxa"/>
          <w:right w:w="28" w:type="dxa"/>
        </w:tblCellMar>
      </w:tblPr>
      <w:tblGrid>
        <w:gridCol w:w="1128"/>
        <w:gridCol w:w="990"/>
        <w:gridCol w:w="1406"/>
      </w:tblGrid>
      <w:tr>
        <w:trPr/>
        <w:tc>
          <w:tcPr>
            <w:tcW w:w="112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2"/>
              </w:rPr>
              <w:t>Published Deal CUSIP:</w:t>
            </w:r>
            <w:r>
              <w:rPr>
                <w:color w:val="000000"/>
              </w:rPr>
              <w:t xml:space="preserve"> </w:t>
            </w:r>
            <w:r>
              <w:rPr>
                <w:rFonts w:ascii="Times New Roman;sans-serif" w:hAnsi="Times New Roman;sans-serif"/>
                <w:b w:val="false"/>
                <w:color w:val="000000"/>
                <w:sz w:val="22"/>
              </w:rPr>
              <w:t>63110DAJ5</w:t>
            </w:r>
          </w:p>
          <w:p>
            <w:pPr>
              <w:pStyle w:val="TableContents"/>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Revolving A Facility: 63110DAK2</w:t>
            </w:r>
          </w:p>
          <w:p>
            <w:pPr>
              <w:pStyle w:val="TableContents"/>
              <w:bidi w:val="0"/>
              <w:spacing w:lineRule="auto" w:line="288" w:before="0" w:after="600"/>
              <w:jc w:val="right"/>
              <w:rPr>
                <w:rFonts w:ascii="Times New Roman;sans-serif" w:hAnsi="Times New Roman;sans-serif"/>
                <w:b w:val="false"/>
                <w:color w:val="000000"/>
                <w:sz w:val="22"/>
              </w:rPr>
            </w:pPr>
            <w:r>
              <w:rPr>
                <w:rFonts w:ascii="Times New Roman;sans-serif" w:hAnsi="Times New Roman;sans-serif"/>
                <w:b w:val="false"/>
                <w:color w:val="000000"/>
                <w:sz w:val="22"/>
              </w:rPr>
              <w:t>Revolving B Facility: 63110DAL0</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AMENDED AND RESTATED CREDIT AGREEMENT</w:t>
        <w:br/>
        <w:t xml:space="preserve">dated as of December 16, 2022,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as amended by Amendment No. 1, dated as of March 29, 2023, </w:t>
      </w:r>
    </w:p>
    <w:p>
      <w:pPr>
        <w:pStyle w:val="TextBody"/>
        <w:bidi w:val="0"/>
        <w:spacing w:lineRule="auto" w:line="288" w:before="0" w:after="0"/>
        <w:jc w:val="center"/>
        <w:rPr/>
      </w:pPr>
      <w:r>
        <w:rPr>
          <w:rFonts w:ascii="Times New Roman;sans-serif" w:hAnsi="Times New Roman;sans-serif"/>
          <w:b w:val="false"/>
          <w:color w:val="000000"/>
          <w:sz w:val="22"/>
        </w:rPr>
        <w:t>as amended by Amendment No. 2, dated as of June 16, 2023,</w:t>
      </w:r>
      <w:r>
        <w:rPr>
          <w:strike/>
          <w:color w:val="FF0000"/>
        </w:rPr>
        <w:t xml:space="preserve"> </w:t>
      </w:r>
      <w:r>
        <w:rPr>
          <w:rFonts w:ascii="Times New Roman;sans-serif" w:hAnsi="Times New Roman;sans-serif"/>
          <w:b w:val="false"/>
          <w:strike/>
          <w:color w:val="FF0000"/>
          <w:sz w:val="22"/>
        </w:rPr>
        <w:t>and</w:t>
      </w:r>
    </w:p>
    <w:p>
      <w:pPr>
        <w:pStyle w:val="TextBody"/>
        <w:bidi w:val="0"/>
        <w:spacing w:lineRule="auto" w:line="288" w:before="0" w:after="0"/>
        <w:jc w:val="center"/>
        <w:rPr/>
      </w:pPr>
      <w:r>
        <w:rPr>
          <w:rFonts w:ascii="Times New Roman;sans-serif" w:hAnsi="Times New Roman;sans-serif"/>
          <w:b w:val="false"/>
          <w:color w:val="000000"/>
          <w:sz w:val="22"/>
        </w:rPr>
        <w:t xml:space="preserve">as amended by Amendment No. 3, dated as of August 2, </w:t>
      </w:r>
      <w:r>
        <w:rPr>
          <w:rFonts w:ascii="Times New Roman;sans-serif" w:hAnsi="Times New Roman;sans-serif"/>
          <w:b w:val="false"/>
          <w:color w:val="0000FF"/>
          <w:sz w:val="22"/>
          <w:u w:val="single"/>
        </w:rPr>
        <w:t>2024, and</w:t>
      </w:r>
    </w:p>
    <w:p>
      <w:pPr>
        <w:pStyle w:val="TextBody"/>
        <w:bidi w:val="0"/>
        <w:spacing w:lineRule="auto" w:line="288" w:before="0" w:after="0"/>
        <w:jc w:val="center"/>
        <w:rPr/>
      </w:pPr>
      <w:r>
        <w:rPr>
          <w:rFonts w:ascii="Times New Roman;sans-serif" w:hAnsi="Times New Roman;sans-serif"/>
          <w:b w:val="false"/>
          <w:color w:val="0000FF"/>
          <w:sz w:val="22"/>
          <w:u w:val="single"/>
        </w:rPr>
        <w:t xml:space="preserve">as amended by Amendment No. 4, dated as of December 16, </w:t>
      </w:r>
      <w:r>
        <w:rPr>
          <w:rFonts w:ascii="Times New Roman;sans-serif" w:hAnsi="Times New Roman;sans-serif"/>
          <w:b w:val="false"/>
          <w:color w:val="000000"/>
          <w:sz w:val="22"/>
        </w:rPr>
        <w:t>2024</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br/>
        <w:t>among</w:t>
        <w:br/>
        <w:br/>
        <w:t>NASDAQ, INC.,</w:t>
        <w:br/>
        <w:t>as Borrower,</w:t>
        <w:br/>
        <w:br/>
        <w:t>The Lenders Party Hereto</w:t>
        <w:br/>
        <w:br/>
        <w:t>and</w:t>
        <w:br/>
        <w:br/>
        <w:t>BANK OF AMERICA, N.A.,</w:t>
        <w:br/>
        <w:t>as Administrative Agent and Issuing Bank</w:t>
      </w:r>
    </w:p>
    <w:p>
      <w:pPr>
        <w:pStyle w:val="TextBody"/>
        <w:bidi w:val="0"/>
        <w:spacing w:lineRule="auto" w:line="288" w:before="0" w:after="48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BOFA SECURITIES, INC., JPMORGAN CHASE BANK, N.A., MIZUHO BANK, LTD., NORDEA BANK ABP, NEW YORK BRANCH, SKANDINAVISKA ENSKILDA BANKEN AB (PUBL) and WELLS FARGO SECURITIES LLC,</w:t>
      </w:r>
    </w:p>
    <w:p>
      <w:pPr>
        <w:pStyle w:val="TextBody"/>
        <w:bidi w:val="0"/>
        <w:spacing w:lineRule="auto" w:line="288" w:before="0" w:after="36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as Joint Lead Arrangers, Joint Bookrunning Managers and Syndication Agents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CITIBANK, N.A., GOLDMAN SACHS BANK USA, HSBC BANK USA, N.A., INDUSTRIAL AND COMMERCIAL BANK OF CHINA LIMITED, NEW YORK BRANCH, MORGAN STANLEY SENIOR FUNDING, INC. and</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SVENSKA HANDELSBANKEN AB (PUBL), NEW YORK BRANCH,</w:t>
      </w:r>
    </w:p>
    <w:p>
      <w:pPr>
        <w:pStyle w:val="TextBody"/>
        <w:bidi w:val="0"/>
        <w:spacing w:lineRule="auto" w:line="288" w:before="0" w:after="360"/>
        <w:jc w:val="center"/>
        <w:rPr>
          <w:rFonts w:ascii="Times New Roman;sans-serif" w:hAnsi="Times New Roman;sans-serif"/>
          <w:b w:val="false"/>
          <w:color w:val="000000"/>
          <w:sz w:val="22"/>
        </w:rPr>
      </w:pPr>
      <w:r>
        <w:rPr>
          <w:rFonts w:ascii="Times New Roman;sans-serif" w:hAnsi="Times New Roman;sans-serif"/>
          <w:b w:val="false"/>
          <w:color w:val="000000"/>
          <w:sz w:val="22"/>
        </w:rPr>
        <w:t>as Documentation Agents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490220"/>
                <wp:effectExtent l="0" t="0" r="0" b="0"/>
                <wp:wrapNone/>
                <wp:docPr id="142" name="Frame133"/>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CG&amp;R Draft    Last Saved: 03/28/2017 4:14 pm    42654014v20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CG&amp;R Draft    Last Saved: 03/28/2017 4:14 pm    42654014v20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88" w:before="0" w:after="240"/>
        <w:jc w:val="right"/>
        <w:rPr>
          <w:rFonts w:ascii="Times New Roman;sans-serif" w:hAnsi="Times New Roman;sans-serif"/>
          <w:b/>
          <w:color w:val="000000"/>
          <w:sz w:val="22"/>
          <w:u w:val="single"/>
        </w:rPr>
      </w:pPr>
      <w:r>
        <w:rPr>
          <w:rFonts w:ascii="Times New Roman;sans-serif" w:hAnsi="Times New Roman;sans-serif"/>
          <w:b/>
          <w:color w:val="000000"/>
          <w:sz w:val="22"/>
          <w:u w:val="single"/>
        </w:rPr>
        <w:t>Page</w:t>
      </w:r>
    </w:p>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I DEFINITIONS</w:t>
      </w:r>
    </w:p>
    <w:p>
      <w:pPr>
        <w:pStyle w:val="TextBody"/>
        <w:bidi w:val="0"/>
        <w:spacing w:lineRule="auto" w:line="288" w:before="0" w:after="0"/>
        <w:ind w:left="0" w:right="0" w:hanging="1728"/>
        <w:jc w:val="left"/>
        <w:rPr>
          <w:rFonts w:ascii="Times New Roman;sans-serif" w:hAnsi="Times New Roman;sans-serif"/>
          <w:b w:val="false"/>
          <w:color w:val="000000"/>
          <w:sz w:val="22"/>
        </w:rPr>
      </w:pPr>
      <w:r>
        <w:rPr>
          <w:rFonts w:ascii="Times New Roman;sans-serif" w:hAnsi="Times New Roman;sans-serif"/>
          <w:b w:val="false"/>
          <w:color w:val="000000"/>
          <w:sz w:val="22"/>
        </w:rPr>
        <w:t>SECTION 1.01    Defined Terms    1</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1.02    Classification of Loans and Borrowings    </w:t>
      </w:r>
      <w:r>
        <w:rPr>
          <w:rFonts w:ascii="Times New Roman;sans-serif" w:hAnsi="Times New Roman;sans-serif"/>
          <w:b w:val="false"/>
          <w:strike/>
          <w:color w:val="FF0000"/>
          <w:sz w:val="22"/>
        </w:rPr>
        <w:t>35</w:t>
      </w:r>
      <w:r>
        <w:rPr>
          <w:rFonts w:ascii="Times New Roman;sans-serif" w:hAnsi="Times New Roman;sans-serif"/>
          <w:b w:val="false"/>
          <w:color w:val="0000FF"/>
          <w:sz w:val="22"/>
          <w:u w:val="single"/>
        </w:rPr>
        <w:t>36</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1.03    Terms Generally; Times of Day    </w:t>
      </w:r>
      <w:r>
        <w:rPr>
          <w:rFonts w:ascii="Times New Roman;sans-serif" w:hAnsi="Times New Roman;sans-serif"/>
          <w:b w:val="false"/>
          <w:strike/>
          <w:color w:val="FF0000"/>
          <w:sz w:val="22"/>
        </w:rPr>
        <w:t>35</w:t>
      </w:r>
      <w:r>
        <w:rPr>
          <w:rFonts w:ascii="Times New Roman;sans-serif" w:hAnsi="Times New Roman;sans-serif"/>
          <w:b w:val="false"/>
          <w:color w:val="0000FF"/>
          <w:sz w:val="22"/>
          <w:u w:val="single"/>
        </w:rPr>
        <w:t>36</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1.04    Accounting Terms; GAAP    </w:t>
      </w:r>
      <w:r>
        <w:rPr>
          <w:rFonts w:ascii="Times New Roman;sans-serif" w:hAnsi="Times New Roman;sans-serif"/>
          <w:b w:val="false"/>
          <w:strike/>
          <w:color w:val="FF0000"/>
          <w:sz w:val="22"/>
        </w:rPr>
        <w:t>36</w:t>
      </w:r>
      <w:r>
        <w:rPr>
          <w:rFonts w:ascii="Times New Roman;sans-serif" w:hAnsi="Times New Roman;sans-serif"/>
          <w:b w:val="false"/>
          <w:color w:val="0000FF"/>
          <w:sz w:val="22"/>
          <w:u w:val="single"/>
        </w:rPr>
        <w:t>37</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1.05    Pro Forma Calculations    </w:t>
      </w:r>
      <w:r>
        <w:rPr>
          <w:rFonts w:ascii="Times New Roman;sans-serif" w:hAnsi="Times New Roman;sans-serif"/>
          <w:b w:val="false"/>
          <w:strike/>
          <w:color w:val="FF0000"/>
          <w:sz w:val="22"/>
        </w:rPr>
        <w:t>36</w:t>
      </w:r>
      <w:r>
        <w:rPr>
          <w:rFonts w:ascii="Times New Roman;sans-serif" w:hAnsi="Times New Roman;sans-serif"/>
          <w:b w:val="false"/>
          <w:color w:val="0000FF"/>
          <w:sz w:val="22"/>
          <w:u w:val="single"/>
        </w:rPr>
        <w:t>37</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1.06    Letter of Credit Amounts    </w:t>
      </w:r>
      <w:r>
        <w:rPr>
          <w:rFonts w:ascii="Times New Roman;sans-serif" w:hAnsi="Times New Roman;sans-serif"/>
          <w:b w:val="false"/>
          <w:strike/>
          <w:color w:val="FF0000"/>
          <w:sz w:val="22"/>
        </w:rPr>
        <w:t>36</w:t>
      </w:r>
      <w:r>
        <w:rPr>
          <w:rFonts w:ascii="Times New Roman;sans-serif" w:hAnsi="Times New Roman;sans-serif"/>
          <w:b w:val="false"/>
          <w:color w:val="0000FF"/>
          <w:sz w:val="22"/>
          <w:u w:val="single"/>
        </w:rPr>
        <w:t>37</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1.07    Exchange Rates; Currency Equivalents    </w:t>
      </w:r>
      <w:r>
        <w:rPr>
          <w:rFonts w:ascii="Times New Roman;sans-serif" w:hAnsi="Times New Roman;sans-serif"/>
          <w:b w:val="false"/>
          <w:strike/>
          <w:color w:val="FF0000"/>
          <w:sz w:val="22"/>
        </w:rPr>
        <w:t>36</w:t>
      </w:r>
      <w:r>
        <w:rPr>
          <w:rFonts w:ascii="Times New Roman;sans-serif" w:hAnsi="Times New Roman;sans-serif"/>
          <w:b w:val="false"/>
          <w:color w:val="0000FF"/>
          <w:sz w:val="22"/>
          <w:u w:val="single"/>
        </w:rPr>
        <w:t>37</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1.08    Additional Alternative Currencies    </w:t>
      </w:r>
      <w:r>
        <w:rPr>
          <w:rFonts w:ascii="Times New Roman;sans-serif" w:hAnsi="Times New Roman;sans-serif"/>
          <w:b w:val="false"/>
          <w:strike/>
          <w:color w:val="FF0000"/>
          <w:sz w:val="22"/>
        </w:rPr>
        <w:t>37</w:t>
      </w:r>
      <w:r>
        <w:rPr>
          <w:rFonts w:ascii="Times New Roman;sans-serif" w:hAnsi="Times New Roman;sans-serif"/>
          <w:b w:val="false"/>
          <w:color w:val="0000FF"/>
          <w:sz w:val="22"/>
          <w:u w:val="single"/>
        </w:rPr>
        <w:t>38</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1.09    Change of Currency    </w:t>
      </w:r>
      <w:r>
        <w:rPr>
          <w:rFonts w:ascii="Times New Roman;sans-serif" w:hAnsi="Times New Roman;sans-serif"/>
          <w:b w:val="false"/>
          <w:strike/>
          <w:color w:val="FF0000"/>
          <w:sz w:val="22"/>
        </w:rPr>
        <w:t>38</w:t>
      </w:r>
      <w:r>
        <w:rPr>
          <w:rFonts w:ascii="Times New Roman;sans-serif" w:hAnsi="Times New Roman;sans-serif"/>
          <w:b w:val="false"/>
          <w:color w:val="0000FF"/>
          <w:sz w:val="22"/>
          <w:u w:val="single"/>
        </w:rPr>
        <w:t>39</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1.10    Additional Borrowers    </w:t>
      </w:r>
      <w:r>
        <w:rPr>
          <w:rFonts w:ascii="Times New Roman;sans-serif" w:hAnsi="Times New Roman;sans-serif"/>
          <w:b w:val="false"/>
          <w:strike/>
          <w:color w:val="FF0000"/>
          <w:sz w:val="22"/>
        </w:rPr>
        <w:t>38</w:t>
      </w:r>
      <w:r>
        <w:rPr>
          <w:rFonts w:ascii="Times New Roman;sans-serif" w:hAnsi="Times New Roman;sans-serif"/>
          <w:b w:val="false"/>
          <w:color w:val="0000FF"/>
          <w:sz w:val="22"/>
          <w:u w:val="single"/>
        </w:rPr>
        <w:t>39</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1.11    Interest Rates    </w:t>
      </w:r>
      <w:r>
        <w:rPr>
          <w:rFonts w:ascii="Times New Roman;sans-serif" w:hAnsi="Times New Roman;sans-serif"/>
          <w:b w:val="false"/>
          <w:strike/>
          <w:color w:val="FF0000"/>
          <w:sz w:val="22"/>
        </w:rPr>
        <w:t>39</w:t>
      </w:r>
      <w:r>
        <w:rPr>
          <w:rFonts w:ascii="Times New Roman;sans-serif" w:hAnsi="Times New Roman;sans-serif"/>
          <w:b w:val="false"/>
          <w:color w:val="0000FF"/>
          <w:sz w:val="22"/>
          <w:u w:val="single"/>
        </w:rPr>
        <w:t>40</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1.12    Effect of Amendment and Restatement    </w:t>
      </w:r>
      <w:r>
        <w:rPr>
          <w:rFonts w:ascii="Times New Roman;sans-serif" w:hAnsi="Times New Roman;sans-serif"/>
          <w:b w:val="false"/>
          <w:strike/>
          <w:color w:val="FF0000"/>
          <w:sz w:val="22"/>
        </w:rPr>
        <w:t>39</w:t>
      </w:r>
      <w:r>
        <w:rPr>
          <w:rFonts w:ascii="Times New Roman;sans-serif" w:hAnsi="Times New Roman;sans-serif"/>
          <w:b w:val="false"/>
          <w:color w:val="0000FF"/>
          <w:sz w:val="22"/>
          <w:u w:val="single"/>
        </w:rPr>
        <w:t>40</w:t>
      </w:r>
    </w:p>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II THE CREDITS</w:t>
      </w:r>
    </w:p>
    <w:p>
      <w:pPr>
        <w:pStyle w:val="TextBody"/>
        <w:bidi w:val="0"/>
        <w:spacing w:lineRule="auto" w:line="288" w:before="0" w:after="0"/>
        <w:ind w:left="0" w:right="0" w:hanging="1728"/>
        <w:jc w:val="left"/>
        <w:rPr>
          <w:rFonts w:ascii="Times New Roman;sans-serif" w:hAnsi="Times New Roman;sans-serif"/>
          <w:b w:val="false"/>
          <w:color w:val="000000"/>
          <w:sz w:val="22"/>
        </w:rPr>
      </w:pPr>
      <w:r>
        <w:rPr>
          <w:rFonts w:ascii="Times New Roman;sans-serif" w:hAnsi="Times New Roman;sans-serif"/>
          <w:b w:val="false"/>
          <w:color w:val="000000"/>
          <w:sz w:val="22"/>
        </w:rPr>
        <w:t>SECTION 2.01    Commitments    40</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2.02    Funding of Loans    </w:t>
      </w:r>
      <w:r>
        <w:rPr>
          <w:rFonts w:ascii="Times New Roman;sans-serif" w:hAnsi="Times New Roman;sans-serif"/>
          <w:b w:val="false"/>
          <w:strike/>
          <w:color w:val="FF0000"/>
          <w:sz w:val="22"/>
        </w:rPr>
        <w:t>40</w:t>
      </w:r>
      <w:r>
        <w:rPr>
          <w:rFonts w:ascii="Times New Roman;sans-serif" w:hAnsi="Times New Roman;sans-serif"/>
          <w:b w:val="false"/>
          <w:color w:val="0000FF"/>
          <w:sz w:val="22"/>
          <w:u w:val="single"/>
        </w:rPr>
        <w:t>41</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2.03    Requests for Borrowings    </w:t>
      </w:r>
      <w:r>
        <w:rPr>
          <w:rFonts w:ascii="Times New Roman;sans-serif" w:hAnsi="Times New Roman;sans-serif"/>
          <w:b w:val="false"/>
          <w:strike/>
          <w:color w:val="FF0000"/>
          <w:sz w:val="22"/>
        </w:rPr>
        <w:t>40</w:t>
      </w:r>
      <w:r>
        <w:rPr>
          <w:rFonts w:ascii="Times New Roman;sans-serif" w:hAnsi="Times New Roman;sans-serif"/>
          <w:b w:val="false"/>
          <w:color w:val="0000FF"/>
          <w:sz w:val="22"/>
          <w:u w:val="single"/>
        </w:rPr>
        <w:t>41</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2.04    Tranche Conversions    </w:t>
      </w:r>
      <w:r>
        <w:rPr>
          <w:rFonts w:ascii="Times New Roman;sans-serif" w:hAnsi="Times New Roman;sans-serif"/>
          <w:b w:val="false"/>
          <w:strike/>
          <w:color w:val="FF0000"/>
          <w:sz w:val="22"/>
        </w:rPr>
        <w:t>43</w:t>
      </w:r>
      <w:r>
        <w:rPr>
          <w:rFonts w:ascii="Times New Roman;sans-serif" w:hAnsi="Times New Roman;sans-serif"/>
          <w:b w:val="false"/>
          <w:color w:val="0000FF"/>
          <w:sz w:val="22"/>
          <w:u w:val="single"/>
        </w:rPr>
        <w:t>44</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2.05    Letters of Credit    </w:t>
      </w:r>
      <w:r>
        <w:rPr>
          <w:rFonts w:ascii="Times New Roman;sans-serif" w:hAnsi="Times New Roman;sans-serif"/>
          <w:b w:val="false"/>
          <w:strike/>
          <w:color w:val="FF0000"/>
          <w:sz w:val="22"/>
        </w:rPr>
        <w:t>44</w:t>
      </w:r>
      <w:r>
        <w:rPr>
          <w:rFonts w:ascii="Times New Roman;sans-serif" w:hAnsi="Times New Roman;sans-serif"/>
          <w:b w:val="false"/>
          <w:color w:val="0000FF"/>
          <w:sz w:val="22"/>
          <w:u w:val="single"/>
        </w:rPr>
        <w:t>45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2.06    Termination and Reduction of Commitments    </w:t>
      </w:r>
      <w:r>
        <w:rPr>
          <w:rFonts w:ascii="Times New Roman;sans-serif" w:hAnsi="Times New Roman;sans-serif"/>
          <w:b w:val="false"/>
          <w:strike/>
          <w:color w:val="FF0000"/>
          <w:sz w:val="22"/>
        </w:rPr>
        <w:t>50</w:t>
      </w:r>
      <w:r>
        <w:rPr>
          <w:rFonts w:ascii="Times New Roman;sans-serif" w:hAnsi="Times New Roman;sans-serif"/>
          <w:b w:val="false"/>
          <w:color w:val="0000FF"/>
          <w:sz w:val="22"/>
          <w:u w:val="single"/>
        </w:rPr>
        <w:t>52</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2.07    Repayment of Loans; Evidence of Debt    </w:t>
      </w:r>
      <w:r>
        <w:rPr>
          <w:rFonts w:ascii="Times New Roman;sans-serif" w:hAnsi="Times New Roman;sans-serif"/>
          <w:b w:val="false"/>
          <w:strike/>
          <w:color w:val="FF0000"/>
          <w:sz w:val="22"/>
        </w:rPr>
        <w:t>51</w:t>
      </w:r>
      <w:r>
        <w:rPr>
          <w:rFonts w:ascii="Times New Roman;sans-serif" w:hAnsi="Times New Roman;sans-serif"/>
          <w:b w:val="false"/>
          <w:color w:val="0000FF"/>
          <w:sz w:val="22"/>
          <w:u w:val="single"/>
        </w:rPr>
        <w:t>52</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2.08    [Reserved]    </w:t>
      </w:r>
      <w:r>
        <w:rPr>
          <w:rFonts w:ascii="Times New Roman;sans-serif" w:hAnsi="Times New Roman;sans-serif"/>
          <w:b w:val="false"/>
          <w:strike/>
          <w:color w:val="FF0000"/>
          <w:sz w:val="22"/>
        </w:rPr>
        <w:t>52</w:t>
      </w:r>
      <w:r>
        <w:rPr>
          <w:rFonts w:ascii="Times New Roman;sans-serif" w:hAnsi="Times New Roman;sans-serif"/>
          <w:b w:val="false"/>
          <w:color w:val="0000FF"/>
          <w:sz w:val="22"/>
          <w:u w:val="single"/>
        </w:rPr>
        <w:t>53</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2.09    Prepayment of Loans    </w:t>
      </w:r>
      <w:r>
        <w:rPr>
          <w:rFonts w:ascii="Times New Roman;sans-serif" w:hAnsi="Times New Roman;sans-serif"/>
          <w:b w:val="false"/>
          <w:strike/>
          <w:color w:val="FF0000"/>
          <w:sz w:val="22"/>
        </w:rPr>
        <w:t>52</w:t>
      </w:r>
      <w:r>
        <w:rPr>
          <w:rFonts w:ascii="Times New Roman;sans-serif" w:hAnsi="Times New Roman;sans-serif"/>
          <w:b w:val="false"/>
          <w:color w:val="0000FF"/>
          <w:sz w:val="22"/>
          <w:u w:val="single"/>
        </w:rPr>
        <w:t>53</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2.10    Fees    </w:t>
      </w:r>
      <w:r>
        <w:rPr>
          <w:rFonts w:ascii="Times New Roman;sans-serif" w:hAnsi="Times New Roman;sans-serif"/>
          <w:b w:val="false"/>
          <w:strike/>
          <w:color w:val="FF0000"/>
          <w:sz w:val="22"/>
        </w:rPr>
        <w:t>53</w:t>
      </w:r>
      <w:r>
        <w:rPr>
          <w:rFonts w:ascii="Times New Roman;sans-serif" w:hAnsi="Times New Roman;sans-serif"/>
          <w:b w:val="false"/>
          <w:color w:val="0000FF"/>
          <w:sz w:val="22"/>
          <w:u w:val="single"/>
        </w:rPr>
        <w:t>54</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2.11    Interest    </w:t>
      </w:r>
      <w:r>
        <w:rPr>
          <w:rFonts w:ascii="Times New Roman;sans-serif" w:hAnsi="Times New Roman;sans-serif"/>
          <w:b w:val="false"/>
          <w:strike/>
          <w:color w:val="FF0000"/>
          <w:sz w:val="22"/>
        </w:rPr>
        <w:t>54</w:t>
      </w:r>
      <w:r>
        <w:rPr>
          <w:rFonts w:ascii="Times New Roman;sans-serif" w:hAnsi="Times New Roman;sans-serif"/>
          <w:b w:val="false"/>
          <w:color w:val="0000FF"/>
          <w:sz w:val="22"/>
          <w:u w:val="single"/>
        </w:rPr>
        <w:t>55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2.12    Alternate Rate of Interest; Successor Rates    </w:t>
      </w:r>
      <w:r>
        <w:rPr>
          <w:rFonts w:ascii="Times New Roman;sans-serif" w:hAnsi="Times New Roman;sans-serif"/>
          <w:b w:val="false"/>
          <w:strike/>
          <w:color w:val="FF0000"/>
          <w:sz w:val="22"/>
        </w:rPr>
        <w:t>55</w:t>
      </w:r>
      <w:r>
        <w:rPr>
          <w:rFonts w:ascii="Times New Roman;sans-serif" w:hAnsi="Times New Roman;sans-serif"/>
          <w:b w:val="false"/>
          <w:color w:val="0000FF"/>
          <w:sz w:val="22"/>
          <w:u w:val="single"/>
        </w:rPr>
        <w:t>56</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2.13    Increased Costs    </w:t>
      </w:r>
      <w:r>
        <w:rPr>
          <w:rFonts w:ascii="Times New Roman;sans-serif" w:hAnsi="Times New Roman;sans-serif"/>
          <w:b w:val="false"/>
          <w:strike/>
          <w:color w:val="FF0000"/>
          <w:sz w:val="22"/>
        </w:rPr>
        <w:t>58</w:t>
      </w:r>
      <w:r>
        <w:rPr>
          <w:rFonts w:ascii="Times New Roman;sans-serif" w:hAnsi="Times New Roman;sans-serif"/>
          <w:b w:val="false"/>
          <w:color w:val="0000FF"/>
          <w:sz w:val="22"/>
          <w:u w:val="single"/>
        </w:rPr>
        <w:t>59</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2.14    Break Funding Payments    </w:t>
      </w:r>
      <w:r>
        <w:rPr>
          <w:rFonts w:ascii="Times New Roman;sans-serif" w:hAnsi="Times New Roman;sans-serif"/>
          <w:b w:val="false"/>
          <w:strike/>
          <w:color w:val="FF0000"/>
          <w:sz w:val="22"/>
        </w:rPr>
        <w:t>59</w:t>
      </w:r>
      <w:r>
        <w:rPr>
          <w:rFonts w:ascii="Times New Roman;sans-serif" w:hAnsi="Times New Roman;sans-serif"/>
          <w:b w:val="false"/>
          <w:color w:val="0000FF"/>
          <w:sz w:val="22"/>
          <w:u w:val="single"/>
        </w:rPr>
        <w:t>61</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2.15    Taxes    </w:t>
      </w:r>
      <w:r>
        <w:rPr>
          <w:rFonts w:ascii="Times New Roman;sans-serif" w:hAnsi="Times New Roman;sans-serif"/>
          <w:b w:val="false"/>
          <w:strike/>
          <w:color w:val="FF0000"/>
          <w:sz w:val="22"/>
        </w:rPr>
        <w:t>60</w:t>
      </w:r>
      <w:r>
        <w:rPr>
          <w:rFonts w:ascii="Times New Roman;sans-serif" w:hAnsi="Times New Roman;sans-serif"/>
          <w:b w:val="false"/>
          <w:color w:val="0000FF"/>
          <w:sz w:val="22"/>
          <w:u w:val="single"/>
        </w:rPr>
        <w:t>61</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2.16    Payments Generally; Pro Rata Treatment; Sharing of Setoffs    </w:t>
      </w:r>
      <w:r>
        <w:rPr>
          <w:rFonts w:ascii="Times New Roman;sans-serif" w:hAnsi="Times New Roman;sans-serif"/>
          <w:b w:val="false"/>
          <w:strike/>
          <w:color w:val="FF0000"/>
          <w:sz w:val="22"/>
        </w:rPr>
        <w:t>63</w:t>
      </w:r>
      <w:r>
        <w:rPr>
          <w:rFonts w:ascii="Times New Roman;sans-serif" w:hAnsi="Times New Roman;sans-serif"/>
          <w:b w:val="false"/>
          <w:color w:val="0000FF"/>
          <w:sz w:val="22"/>
          <w:u w:val="single"/>
        </w:rPr>
        <w:t>64</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2.17    Mitigation Obligations; Replacement of Lenders    </w:t>
      </w:r>
      <w:r>
        <w:rPr>
          <w:rFonts w:ascii="Times New Roman;sans-serif" w:hAnsi="Times New Roman;sans-serif"/>
          <w:b w:val="false"/>
          <w:strike/>
          <w:color w:val="FF0000"/>
          <w:sz w:val="22"/>
        </w:rPr>
        <w:t>64</w:t>
      </w:r>
      <w:r>
        <w:rPr>
          <w:rFonts w:ascii="Times New Roman;sans-serif" w:hAnsi="Times New Roman;sans-serif"/>
          <w:b w:val="false"/>
          <w:color w:val="0000FF"/>
          <w:sz w:val="22"/>
          <w:u w:val="single"/>
        </w:rPr>
        <w:t>66</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2.18    Incremental Revolving Commitments    </w:t>
      </w:r>
      <w:r>
        <w:rPr>
          <w:rFonts w:ascii="Times New Roman;sans-serif" w:hAnsi="Times New Roman;sans-serif"/>
          <w:b w:val="false"/>
          <w:strike/>
          <w:color w:val="FF0000"/>
          <w:sz w:val="22"/>
        </w:rPr>
        <w:t>65</w:t>
      </w:r>
      <w:r>
        <w:rPr>
          <w:rFonts w:ascii="Times New Roman;sans-serif" w:hAnsi="Times New Roman;sans-serif"/>
          <w:b w:val="false"/>
          <w:color w:val="0000FF"/>
          <w:sz w:val="22"/>
          <w:u w:val="single"/>
        </w:rPr>
        <w:t>67</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2.19    Defaulting Lenders    </w:t>
      </w:r>
      <w:r>
        <w:rPr>
          <w:rFonts w:ascii="Times New Roman;sans-serif" w:hAnsi="Times New Roman;sans-serif"/>
          <w:b w:val="false"/>
          <w:strike/>
          <w:color w:val="FF0000"/>
          <w:sz w:val="22"/>
        </w:rPr>
        <w:t>66</w:t>
      </w:r>
      <w:r>
        <w:rPr>
          <w:rFonts w:ascii="Times New Roman;sans-serif" w:hAnsi="Times New Roman;sans-serif"/>
          <w:b w:val="false"/>
          <w:color w:val="0000FF"/>
          <w:sz w:val="22"/>
          <w:u w:val="single"/>
        </w:rPr>
        <w:t>67</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2.20    Sustainability Adjustments; Sustainability Coordinator    </w:t>
      </w:r>
      <w:r>
        <w:rPr>
          <w:rFonts w:ascii="Times New Roman;sans-serif" w:hAnsi="Times New Roman;sans-serif"/>
          <w:b w:val="false"/>
          <w:strike/>
          <w:color w:val="FF0000"/>
          <w:sz w:val="22"/>
        </w:rPr>
        <w:t>68</w:t>
      </w:r>
      <w:r>
        <w:rPr>
          <w:rFonts w:ascii="Times New Roman;sans-serif" w:hAnsi="Times New Roman;sans-serif"/>
          <w:b w:val="false"/>
          <w:color w:val="0000FF"/>
          <w:sz w:val="22"/>
          <w:u w:val="single"/>
        </w:rPr>
        <w:t>69</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2.21    Illegality    </w:t>
      </w:r>
      <w:r>
        <w:rPr>
          <w:rFonts w:ascii="Times New Roman;sans-serif" w:hAnsi="Times New Roman;sans-serif"/>
          <w:b w:val="false"/>
          <w:strike/>
          <w:color w:val="FF0000"/>
          <w:sz w:val="22"/>
        </w:rPr>
        <w:t>70</w:t>
      </w:r>
      <w:r>
        <w:rPr>
          <w:rFonts w:ascii="Times New Roman;sans-serif" w:hAnsi="Times New Roman;sans-serif"/>
          <w:b w:val="false"/>
          <w:color w:val="0000FF"/>
          <w:sz w:val="22"/>
          <w:u w:val="single"/>
        </w:rPr>
        <w:t>72</w:t>
      </w:r>
    </w:p>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III REPRESENTATIONS AND WARRANTIES</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3.01    Organization; Powers    </w:t>
      </w:r>
      <w:r>
        <w:rPr>
          <w:rFonts w:ascii="Times New Roman;sans-serif" w:hAnsi="Times New Roman;sans-serif"/>
          <w:b w:val="false"/>
          <w:strike/>
          <w:color w:val="FF0000"/>
          <w:sz w:val="22"/>
        </w:rPr>
        <w:t>71</w:t>
      </w:r>
      <w:r>
        <w:rPr>
          <w:rFonts w:ascii="Times New Roman;sans-serif" w:hAnsi="Times New Roman;sans-serif"/>
          <w:b w:val="false"/>
          <w:color w:val="0000FF"/>
          <w:sz w:val="22"/>
          <w:u w:val="single"/>
        </w:rPr>
        <w:t>73</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3.02    Authorization; Enforceability    </w:t>
      </w:r>
      <w:r>
        <w:rPr>
          <w:rFonts w:ascii="Times New Roman;sans-serif" w:hAnsi="Times New Roman;sans-serif"/>
          <w:b w:val="false"/>
          <w:strike/>
          <w:color w:val="FF0000"/>
          <w:sz w:val="22"/>
        </w:rPr>
        <w:t>71</w:t>
      </w:r>
      <w:r>
        <w:rPr>
          <w:rFonts w:ascii="Times New Roman;sans-serif" w:hAnsi="Times New Roman;sans-serif"/>
          <w:b w:val="false"/>
          <w:color w:val="0000FF"/>
          <w:sz w:val="22"/>
          <w:u w:val="single"/>
        </w:rPr>
        <w:t>73</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3.03    Governmental Approvals; No Conflicts    </w:t>
      </w:r>
      <w:r>
        <w:rPr>
          <w:rFonts w:ascii="Times New Roman;sans-serif" w:hAnsi="Times New Roman;sans-serif"/>
          <w:b w:val="false"/>
          <w:strike/>
          <w:color w:val="FF0000"/>
          <w:sz w:val="22"/>
        </w:rPr>
        <w:t>72</w:t>
      </w:r>
      <w:r>
        <w:rPr>
          <w:rFonts w:ascii="Times New Roman;sans-serif" w:hAnsi="Times New Roman;sans-serif"/>
          <w:b w:val="false"/>
          <w:color w:val="0000FF"/>
          <w:sz w:val="22"/>
          <w:u w:val="single"/>
        </w:rPr>
        <w:t>73</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3.04    Financial Condition; No Material Adverse Change    </w:t>
      </w:r>
      <w:r>
        <w:rPr>
          <w:rFonts w:ascii="Times New Roman;sans-serif" w:hAnsi="Times New Roman;sans-serif"/>
          <w:b w:val="false"/>
          <w:strike/>
          <w:color w:val="FF0000"/>
          <w:sz w:val="22"/>
        </w:rPr>
        <w:t>72</w:t>
      </w:r>
      <w:r>
        <w:rPr>
          <w:rFonts w:ascii="Times New Roman;sans-serif" w:hAnsi="Times New Roman;sans-serif"/>
          <w:b w:val="false"/>
          <w:color w:val="0000FF"/>
          <w:sz w:val="22"/>
          <w:u w:val="single"/>
        </w:rPr>
        <w:t>74</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3.05    Properties    </w:t>
      </w:r>
      <w:r>
        <w:rPr>
          <w:rFonts w:ascii="Times New Roman;sans-serif" w:hAnsi="Times New Roman;sans-serif"/>
          <w:b w:val="false"/>
          <w:strike/>
          <w:color w:val="FF0000"/>
          <w:sz w:val="22"/>
        </w:rPr>
        <w:t>72</w:t>
      </w:r>
      <w:r>
        <w:rPr>
          <w:rFonts w:ascii="Times New Roman;sans-serif" w:hAnsi="Times New Roman;sans-serif"/>
          <w:b w:val="false"/>
          <w:color w:val="0000FF"/>
          <w:sz w:val="22"/>
          <w:u w:val="single"/>
        </w:rPr>
        <w:t>74</w:t>
      </w:r>
    </w:p>
    <w:p>
      <w:pPr>
        <w:pStyle w:val="TextBody"/>
        <w:bidi w:val="0"/>
        <w:spacing w:lineRule="auto" w:line="288"/>
        <w:ind w:left="0" w:right="0" w:hanging="1728"/>
        <w:jc w:val="left"/>
        <w:rPr/>
      </w:pPr>
      <w:r>
        <w:rPr>
          <w:rFonts w:ascii="Times New Roman;sans-serif" w:hAnsi="Times New Roman;sans-serif"/>
          <w:b w:val="false"/>
          <w:color w:val="000000"/>
          <w:sz w:val="22"/>
        </w:rPr>
        <w:t>SECTION 3.06    Litigation Matters    </w:t>
      </w:r>
      <w:r>
        <w:rPr>
          <w:rFonts w:ascii="Times New Roman;sans-serif" w:hAnsi="Times New Roman;sans-serif"/>
          <w:b w:val="false"/>
          <w:strike/>
          <w:color w:val="FF0000"/>
          <w:sz w:val="22"/>
        </w:rPr>
        <w:t>72</w:t>
      </w:r>
      <w:r>
        <w:rPr>
          <w:rFonts w:ascii="Times New Roman;sans-serif" w:hAnsi="Times New Roman;sans-serif"/>
          <w:b w:val="false"/>
          <w:color w:val="0000FF"/>
          <w:sz w:val="22"/>
          <w:u w:val="single"/>
        </w:rPr>
        <w:t>74</w:t>
      </w:r>
    </w:p>
    <w:p>
      <w:pPr>
        <w:pStyle w:val="TextBody"/>
        <w:bidi w:val="0"/>
        <w:spacing w:lineRule="auto" w:line="288" w:before="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3"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57.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3.07    Compliance with Laws    </w:t>
      </w:r>
      <w:r>
        <w:rPr>
          <w:rFonts w:ascii="Times New Roman;sans-serif" w:hAnsi="Times New Roman;sans-serif"/>
          <w:b w:val="false"/>
          <w:strike/>
          <w:color w:val="FF0000"/>
          <w:sz w:val="22"/>
        </w:rPr>
        <w:t>73</w:t>
      </w:r>
      <w:r>
        <w:rPr>
          <w:rFonts w:ascii="Times New Roman;sans-serif" w:hAnsi="Times New Roman;sans-serif"/>
          <w:b w:val="false"/>
          <w:color w:val="0000FF"/>
          <w:sz w:val="22"/>
          <w:u w:val="single"/>
        </w:rPr>
        <w:t>74</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3.08    Investment Company Status    </w:t>
      </w:r>
      <w:r>
        <w:rPr>
          <w:rFonts w:ascii="Times New Roman;sans-serif" w:hAnsi="Times New Roman;sans-serif"/>
          <w:b w:val="false"/>
          <w:strike/>
          <w:color w:val="FF0000"/>
          <w:sz w:val="22"/>
        </w:rPr>
        <w:t>73</w:t>
      </w:r>
      <w:r>
        <w:rPr>
          <w:rFonts w:ascii="Times New Roman;sans-serif" w:hAnsi="Times New Roman;sans-serif"/>
          <w:b w:val="false"/>
          <w:color w:val="0000FF"/>
          <w:sz w:val="22"/>
          <w:u w:val="single"/>
        </w:rPr>
        <w:t>74</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3.09    Taxes    </w:t>
      </w:r>
      <w:r>
        <w:rPr>
          <w:rFonts w:ascii="Times New Roman;sans-serif" w:hAnsi="Times New Roman;sans-serif"/>
          <w:b w:val="false"/>
          <w:strike/>
          <w:color w:val="FF0000"/>
          <w:sz w:val="22"/>
        </w:rPr>
        <w:t>73</w:t>
      </w:r>
      <w:r>
        <w:rPr>
          <w:rFonts w:ascii="Times New Roman;sans-serif" w:hAnsi="Times New Roman;sans-serif"/>
          <w:b w:val="false"/>
          <w:color w:val="0000FF"/>
          <w:sz w:val="22"/>
          <w:u w:val="single"/>
        </w:rPr>
        <w:t>74</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3.10    [Reserved]    </w:t>
      </w:r>
      <w:r>
        <w:rPr>
          <w:rFonts w:ascii="Times New Roman;sans-serif" w:hAnsi="Times New Roman;sans-serif"/>
          <w:b w:val="false"/>
          <w:strike/>
          <w:color w:val="FF0000"/>
          <w:sz w:val="22"/>
        </w:rPr>
        <w:t>73</w:t>
      </w:r>
      <w:r>
        <w:rPr>
          <w:rFonts w:ascii="Times New Roman;sans-serif" w:hAnsi="Times New Roman;sans-serif"/>
          <w:b w:val="false"/>
          <w:color w:val="0000FF"/>
          <w:sz w:val="22"/>
          <w:u w:val="single"/>
        </w:rPr>
        <w:t>75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3.11    Disclosure    </w:t>
      </w:r>
      <w:r>
        <w:rPr>
          <w:rFonts w:ascii="Times New Roman;sans-serif" w:hAnsi="Times New Roman;sans-serif"/>
          <w:b w:val="false"/>
          <w:strike/>
          <w:color w:val="FF0000"/>
          <w:sz w:val="22"/>
        </w:rPr>
        <w:t>73</w:t>
      </w:r>
      <w:r>
        <w:rPr>
          <w:rFonts w:ascii="Times New Roman;sans-serif" w:hAnsi="Times New Roman;sans-serif"/>
          <w:b w:val="false"/>
          <w:color w:val="0000FF"/>
          <w:sz w:val="22"/>
          <w:u w:val="single"/>
        </w:rPr>
        <w:t>75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3.12    [Reserved]    </w:t>
      </w:r>
      <w:r>
        <w:rPr>
          <w:rFonts w:ascii="Times New Roman;sans-serif" w:hAnsi="Times New Roman;sans-serif"/>
          <w:b w:val="false"/>
          <w:strike/>
          <w:color w:val="FF0000"/>
          <w:sz w:val="22"/>
        </w:rPr>
        <w:t>73</w:t>
      </w:r>
      <w:r>
        <w:rPr>
          <w:rFonts w:ascii="Times New Roman;sans-serif" w:hAnsi="Times New Roman;sans-serif"/>
          <w:b w:val="false"/>
          <w:color w:val="0000FF"/>
          <w:sz w:val="22"/>
          <w:u w:val="single"/>
        </w:rPr>
        <w:t>75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3.13    [Reserved]    </w:t>
      </w:r>
      <w:r>
        <w:rPr>
          <w:rFonts w:ascii="Times New Roman;sans-serif" w:hAnsi="Times New Roman;sans-serif"/>
          <w:b w:val="false"/>
          <w:strike/>
          <w:color w:val="FF0000"/>
          <w:sz w:val="22"/>
        </w:rPr>
        <w:t>73</w:t>
      </w:r>
      <w:r>
        <w:rPr>
          <w:rFonts w:ascii="Times New Roman;sans-serif" w:hAnsi="Times New Roman;sans-serif"/>
          <w:b w:val="false"/>
          <w:color w:val="0000FF"/>
          <w:sz w:val="22"/>
          <w:u w:val="single"/>
        </w:rPr>
        <w:t>75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3.14    Federal Reserve Regulations    </w:t>
      </w:r>
      <w:r>
        <w:rPr>
          <w:rFonts w:ascii="Times New Roman;sans-serif" w:hAnsi="Times New Roman;sans-serif"/>
          <w:b w:val="false"/>
          <w:strike/>
          <w:color w:val="FF0000"/>
          <w:sz w:val="22"/>
        </w:rPr>
        <w:t>73</w:t>
      </w:r>
      <w:r>
        <w:rPr>
          <w:rFonts w:ascii="Times New Roman;sans-serif" w:hAnsi="Times New Roman;sans-serif"/>
          <w:b w:val="false"/>
          <w:color w:val="0000FF"/>
          <w:sz w:val="22"/>
          <w:u w:val="single"/>
        </w:rPr>
        <w:t>75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3.15    OFAC    </w:t>
      </w:r>
      <w:r>
        <w:rPr>
          <w:rFonts w:ascii="Times New Roman;sans-serif" w:hAnsi="Times New Roman;sans-serif"/>
          <w:b w:val="false"/>
          <w:strike/>
          <w:color w:val="FF0000"/>
          <w:sz w:val="22"/>
        </w:rPr>
        <w:t>74</w:t>
      </w:r>
      <w:r>
        <w:rPr>
          <w:rFonts w:ascii="Times New Roman;sans-serif" w:hAnsi="Times New Roman;sans-serif"/>
          <w:b w:val="false"/>
          <w:color w:val="0000FF"/>
          <w:sz w:val="22"/>
          <w:u w:val="single"/>
        </w:rPr>
        <w:t>75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3.16    Anti-Corruption Laws and Patriot Act    </w:t>
      </w:r>
      <w:r>
        <w:rPr>
          <w:rFonts w:ascii="Times New Roman;sans-serif" w:hAnsi="Times New Roman;sans-serif"/>
          <w:b w:val="false"/>
          <w:strike/>
          <w:color w:val="FF0000"/>
          <w:sz w:val="22"/>
        </w:rPr>
        <w:t>74</w:t>
      </w:r>
      <w:r>
        <w:rPr>
          <w:rFonts w:ascii="Times New Roman;sans-serif" w:hAnsi="Times New Roman;sans-serif"/>
          <w:b w:val="false"/>
          <w:color w:val="0000FF"/>
          <w:sz w:val="22"/>
          <w:u w:val="single"/>
        </w:rPr>
        <w:t>75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3.17    Affected Financial Institution    </w:t>
      </w:r>
      <w:r>
        <w:rPr>
          <w:rFonts w:ascii="Times New Roman;sans-serif" w:hAnsi="Times New Roman;sans-serif"/>
          <w:b w:val="false"/>
          <w:strike/>
          <w:color w:val="FF0000"/>
          <w:sz w:val="22"/>
        </w:rPr>
        <w:t>74</w:t>
      </w:r>
      <w:r>
        <w:rPr>
          <w:rFonts w:ascii="Times New Roman;sans-serif" w:hAnsi="Times New Roman;sans-serif"/>
          <w:b w:val="false"/>
          <w:color w:val="0000FF"/>
          <w:sz w:val="22"/>
          <w:u w:val="single"/>
        </w:rPr>
        <w:t>76</w:t>
      </w:r>
    </w:p>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IV CONDITIONS</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4.01    Conditions to the Closing Date    </w:t>
      </w:r>
      <w:r>
        <w:rPr>
          <w:rFonts w:ascii="Times New Roman;sans-serif" w:hAnsi="Times New Roman;sans-serif"/>
          <w:b w:val="false"/>
          <w:strike/>
          <w:color w:val="FF0000"/>
          <w:sz w:val="22"/>
        </w:rPr>
        <w:t>74</w:t>
      </w:r>
      <w:r>
        <w:rPr>
          <w:rFonts w:ascii="Times New Roman;sans-serif" w:hAnsi="Times New Roman;sans-serif"/>
          <w:b w:val="false"/>
          <w:color w:val="0000FF"/>
          <w:sz w:val="22"/>
          <w:u w:val="single"/>
        </w:rPr>
        <w:t>76</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4.02    Each Credit Event    </w:t>
      </w:r>
      <w:r>
        <w:rPr>
          <w:rFonts w:ascii="Times New Roman;sans-serif" w:hAnsi="Times New Roman;sans-serif"/>
          <w:b w:val="false"/>
          <w:strike/>
          <w:color w:val="FF0000"/>
          <w:sz w:val="22"/>
        </w:rPr>
        <w:t>75</w:t>
      </w:r>
      <w:r>
        <w:rPr>
          <w:rFonts w:ascii="Times New Roman;sans-serif" w:hAnsi="Times New Roman;sans-serif"/>
          <w:b w:val="false"/>
          <w:color w:val="0000FF"/>
          <w:sz w:val="22"/>
          <w:u w:val="single"/>
        </w:rPr>
        <w:t>77</w:t>
      </w:r>
    </w:p>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V AFFIRMATIVE COVENANTS</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5.01    Financial Statements and Other Information    </w:t>
      </w:r>
      <w:r>
        <w:rPr>
          <w:rFonts w:ascii="Times New Roman;sans-serif" w:hAnsi="Times New Roman;sans-serif"/>
          <w:b w:val="false"/>
          <w:strike/>
          <w:color w:val="FF0000"/>
          <w:sz w:val="22"/>
        </w:rPr>
        <w:t>76</w:t>
      </w:r>
      <w:r>
        <w:rPr>
          <w:rFonts w:ascii="Times New Roman;sans-serif" w:hAnsi="Times New Roman;sans-serif"/>
          <w:b w:val="false"/>
          <w:color w:val="0000FF"/>
          <w:sz w:val="22"/>
          <w:u w:val="single"/>
        </w:rPr>
        <w:t>78</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5.02    Notices of Material Events    </w:t>
      </w:r>
      <w:r>
        <w:rPr>
          <w:rFonts w:ascii="Times New Roman;sans-serif" w:hAnsi="Times New Roman;sans-serif"/>
          <w:b w:val="false"/>
          <w:strike/>
          <w:color w:val="FF0000"/>
          <w:sz w:val="22"/>
        </w:rPr>
        <w:t>78</w:t>
      </w:r>
      <w:r>
        <w:rPr>
          <w:rFonts w:ascii="Times New Roman;sans-serif" w:hAnsi="Times New Roman;sans-serif"/>
          <w:b w:val="false"/>
          <w:color w:val="0000FF"/>
          <w:sz w:val="22"/>
          <w:u w:val="single"/>
        </w:rPr>
        <w:t>79</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5.03    Existence; Conduct of Business    </w:t>
      </w:r>
      <w:r>
        <w:rPr>
          <w:rFonts w:ascii="Times New Roman;sans-serif" w:hAnsi="Times New Roman;sans-serif"/>
          <w:b w:val="false"/>
          <w:strike/>
          <w:color w:val="FF0000"/>
          <w:sz w:val="22"/>
        </w:rPr>
        <w:t>78</w:t>
      </w:r>
      <w:r>
        <w:rPr>
          <w:rFonts w:ascii="Times New Roman;sans-serif" w:hAnsi="Times New Roman;sans-serif"/>
          <w:b w:val="false"/>
          <w:color w:val="0000FF"/>
          <w:sz w:val="22"/>
          <w:u w:val="single"/>
        </w:rPr>
        <w:t>80</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5.04    Payment of Taxes    </w:t>
      </w:r>
      <w:r>
        <w:rPr>
          <w:rFonts w:ascii="Times New Roman;sans-serif" w:hAnsi="Times New Roman;sans-serif"/>
          <w:b w:val="false"/>
          <w:strike/>
          <w:color w:val="FF0000"/>
          <w:sz w:val="22"/>
        </w:rPr>
        <w:t>78</w:t>
      </w:r>
      <w:r>
        <w:rPr>
          <w:rFonts w:ascii="Times New Roman;sans-serif" w:hAnsi="Times New Roman;sans-serif"/>
          <w:b w:val="false"/>
          <w:color w:val="0000FF"/>
          <w:sz w:val="22"/>
          <w:u w:val="single"/>
        </w:rPr>
        <w:t>80</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5.05    Maintenance of Properties    </w:t>
      </w:r>
      <w:r>
        <w:rPr>
          <w:rFonts w:ascii="Times New Roman;sans-serif" w:hAnsi="Times New Roman;sans-serif"/>
          <w:b w:val="false"/>
          <w:strike/>
          <w:color w:val="FF0000"/>
          <w:sz w:val="22"/>
        </w:rPr>
        <w:t>78</w:t>
      </w:r>
      <w:r>
        <w:rPr>
          <w:rFonts w:ascii="Times New Roman;sans-serif" w:hAnsi="Times New Roman;sans-serif"/>
          <w:b w:val="false"/>
          <w:color w:val="0000FF"/>
          <w:sz w:val="22"/>
          <w:u w:val="single"/>
        </w:rPr>
        <w:t>80</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5.06    Insurance    </w:t>
      </w:r>
      <w:r>
        <w:rPr>
          <w:rFonts w:ascii="Times New Roman;sans-serif" w:hAnsi="Times New Roman;sans-serif"/>
          <w:b w:val="false"/>
          <w:strike/>
          <w:color w:val="FF0000"/>
          <w:sz w:val="22"/>
        </w:rPr>
        <w:t>78</w:t>
      </w:r>
      <w:r>
        <w:rPr>
          <w:rFonts w:ascii="Times New Roman;sans-serif" w:hAnsi="Times New Roman;sans-serif"/>
          <w:b w:val="false"/>
          <w:color w:val="0000FF"/>
          <w:sz w:val="22"/>
          <w:u w:val="single"/>
        </w:rPr>
        <w:t>80</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5.07    Books and Records; Inspection and Audit Rights    </w:t>
      </w:r>
      <w:r>
        <w:rPr>
          <w:rFonts w:ascii="Times New Roman;sans-serif" w:hAnsi="Times New Roman;sans-serif"/>
          <w:b w:val="false"/>
          <w:strike/>
          <w:color w:val="FF0000"/>
          <w:sz w:val="22"/>
        </w:rPr>
        <w:t>79</w:t>
      </w:r>
      <w:r>
        <w:rPr>
          <w:rFonts w:ascii="Times New Roman;sans-serif" w:hAnsi="Times New Roman;sans-serif"/>
          <w:b w:val="false"/>
          <w:color w:val="0000FF"/>
          <w:sz w:val="22"/>
          <w:u w:val="single"/>
        </w:rPr>
        <w:t>80</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5.08    Compliance with Laws    </w:t>
      </w:r>
      <w:r>
        <w:rPr>
          <w:rFonts w:ascii="Times New Roman;sans-serif" w:hAnsi="Times New Roman;sans-serif"/>
          <w:b w:val="false"/>
          <w:strike/>
          <w:color w:val="FF0000"/>
          <w:sz w:val="22"/>
        </w:rPr>
        <w:t>79</w:t>
      </w:r>
      <w:r>
        <w:rPr>
          <w:rFonts w:ascii="Times New Roman;sans-serif" w:hAnsi="Times New Roman;sans-serif"/>
          <w:b w:val="false"/>
          <w:color w:val="0000FF"/>
          <w:sz w:val="22"/>
          <w:u w:val="single"/>
        </w:rPr>
        <w:t>81</w:t>
      </w:r>
    </w:p>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 NEGATIVE COVENANTS</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6.01    Indebtedness of Subsidiaries    </w:t>
      </w:r>
      <w:r>
        <w:rPr>
          <w:rFonts w:ascii="Times New Roman;sans-serif" w:hAnsi="Times New Roman;sans-serif"/>
          <w:b w:val="false"/>
          <w:strike/>
          <w:color w:val="FF0000"/>
          <w:sz w:val="22"/>
        </w:rPr>
        <w:t>79</w:t>
      </w:r>
      <w:r>
        <w:rPr>
          <w:rFonts w:ascii="Times New Roman;sans-serif" w:hAnsi="Times New Roman;sans-serif"/>
          <w:b w:val="false"/>
          <w:color w:val="0000FF"/>
          <w:sz w:val="22"/>
          <w:u w:val="single"/>
        </w:rPr>
        <w:t>81</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6.02    Liens    </w:t>
      </w:r>
      <w:r>
        <w:rPr>
          <w:rFonts w:ascii="Times New Roman;sans-serif" w:hAnsi="Times New Roman;sans-serif"/>
          <w:b w:val="false"/>
          <w:strike/>
          <w:color w:val="FF0000"/>
          <w:sz w:val="22"/>
        </w:rPr>
        <w:t>81</w:t>
      </w:r>
      <w:r>
        <w:rPr>
          <w:rFonts w:ascii="Times New Roman;sans-serif" w:hAnsi="Times New Roman;sans-serif"/>
          <w:b w:val="false"/>
          <w:color w:val="0000FF"/>
          <w:sz w:val="22"/>
          <w:u w:val="single"/>
        </w:rPr>
        <w:t>83</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6.03    Fundamental Changes    </w:t>
      </w:r>
      <w:r>
        <w:rPr>
          <w:rFonts w:ascii="Times New Roman;sans-serif" w:hAnsi="Times New Roman;sans-serif"/>
          <w:b w:val="false"/>
          <w:strike/>
          <w:color w:val="FF0000"/>
          <w:sz w:val="22"/>
        </w:rPr>
        <w:t>83</w:t>
      </w:r>
      <w:r>
        <w:rPr>
          <w:rFonts w:ascii="Times New Roman;sans-serif" w:hAnsi="Times New Roman;sans-serif"/>
          <w:b w:val="false"/>
          <w:color w:val="0000FF"/>
          <w:sz w:val="22"/>
          <w:u w:val="single"/>
        </w:rPr>
        <w:t>85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6.04    Use of Proceeds and Letters of Credit    </w:t>
      </w:r>
      <w:r>
        <w:rPr>
          <w:rFonts w:ascii="Times New Roman;sans-serif" w:hAnsi="Times New Roman;sans-serif"/>
          <w:b w:val="false"/>
          <w:strike/>
          <w:color w:val="FF0000"/>
          <w:sz w:val="22"/>
        </w:rPr>
        <w:t>84</w:t>
      </w:r>
      <w:r>
        <w:rPr>
          <w:rFonts w:ascii="Times New Roman;sans-serif" w:hAnsi="Times New Roman;sans-serif"/>
          <w:b w:val="false"/>
          <w:color w:val="0000FF"/>
          <w:sz w:val="22"/>
          <w:u w:val="single"/>
        </w:rPr>
        <w:t>85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6.05    Asset Sales    </w:t>
      </w:r>
      <w:r>
        <w:rPr>
          <w:rFonts w:ascii="Times New Roman;sans-serif" w:hAnsi="Times New Roman;sans-serif"/>
          <w:b w:val="false"/>
          <w:strike/>
          <w:color w:val="FF0000"/>
          <w:sz w:val="22"/>
        </w:rPr>
        <w:t>84</w:t>
      </w:r>
      <w:r>
        <w:rPr>
          <w:rFonts w:ascii="Times New Roman;sans-serif" w:hAnsi="Times New Roman;sans-serif"/>
          <w:b w:val="false"/>
          <w:color w:val="0000FF"/>
          <w:sz w:val="22"/>
          <w:u w:val="single"/>
        </w:rPr>
        <w:t>86</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6.06    Leverage Ratio    </w:t>
      </w:r>
      <w:r>
        <w:rPr>
          <w:rFonts w:ascii="Times New Roman;sans-serif" w:hAnsi="Times New Roman;sans-serif"/>
          <w:b w:val="false"/>
          <w:strike/>
          <w:color w:val="FF0000"/>
          <w:sz w:val="22"/>
        </w:rPr>
        <w:t>84</w:t>
      </w:r>
      <w:r>
        <w:rPr>
          <w:rFonts w:ascii="Times New Roman;sans-serif" w:hAnsi="Times New Roman;sans-serif"/>
          <w:b w:val="false"/>
          <w:color w:val="0000FF"/>
          <w:sz w:val="22"/>
          <w:u w:val="single"/>
        </w:rPr>
        <w:t>86</w:t>
      </w:r>
    </w:p>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VII EVENTS OF DEFAULT</w:t>
      </w:r>
    </w:p>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VIII REGARDING THE ADMINISTRATIVE AGENT AND SUSTAINABILITY COORDINATOR</w:t>
      </w:r>
    </w:p>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IX MISCELLANEOUS</w:t>
      </w:r>
    </w:p>
    <w:p>
      <w:pPr>
        <w:pStyle w:val="TextBody"/>
        <w:bidi w:val="0"/>
        <w:spacing w:lineRule="auto" w:line="288" w:before="0" w:after="0"/>
        <w:ind w:left="0" w:right="0" w:hanging="1728"/>
        <w:jc w:val="left"/>
        <w:rPr>
          <w:rFonts w:ascii="Times New Roman;sans-serif" w:hAnsi="Times New Roman;sans-serif"/>
          <w:b w:val="false"/>
          <w:color w:val="000000"/>
          <w:sz w:val="22"/>
        </w:rPr>
      </w:pPr>
      <w:r>
        <w:rPr>
          <w:rFonts w:ascii="Times New Roman;sans-serif" w:hAnsi="Times New Roman;sans-serif"/>
          <w:b w:val="false"/>
          <w:color w:val="000000"/>
          <w:sz w:val="22"/>
        </w:rPr>
        <w:t>SECTION 9.01    Notices    93</w:t>
      </w:r>
    </w:p>
    <w:p>
      <w:pPr>
        <w:pStyle w:val="TextBody"/>
        <w:bidi w:val="0"/>
        <w:spacing w:lineRule="auto" w:line="288" w:before="0" w:after="0"/>
        <w:ind w:left="0" w:right="0" w:hanging="1728"/>
        <w:jc w:val="left"/>
        <w:rPr>
          <w:rFonts w:ascii="Times New Roman;sans-serif" w:hAnsi="Times New Roman;sans-serif"/>
          <w:b w:val="false"/>
          <w:color w:val="000000"/>
          <w:sz w:val="22"/>
        </w:rPr>
      </w:pPr>
      <w:r>
        <w:rPr>
          <w:rFonts w:ascii="Times New Roman;sans-serif" w:hAnsi="Times New Roman;sans-serif"/>
          <w:b w:val="false"/>
          <w:color w:val="000000"/>
          <w:sz w:val="22"/>
        </w:rPr>
        <w:t>SECTION 9.02    Waivers; Amendments    94</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9.03    Expenses; Indemnity; Damage Waiver    </w:t>
      </w:r>
      <w:r>
        <w:rPr>
          <w:rFonts w:ascii="Times New Roman;sans-serif" w:hAnsi="Times New Roman;sans-serif"/>
          <w:b w:val="false"/>
          <w:strike/>
          <w:color w:val="FF0000"/>
          <w:sz w:val="22"/>
        </w:rPr>
        <w:t>96</w:t>
      </w:r>
      <w:r>
        <w:rPr>
          <w:rFonts w:ascii="Times New Roman;sans-serif" w:hAnsi="Times New Roman;sans-serif"/>
          <w:b w:val="false"/>
          <w:color w:val="0000FF"/>
          <w:sz w:val="22"/>
          <w:u w:val="single"/>
        </w:rPr>
        <w:t>97</w:t>
      </w:r>
    </w:p>
    <w:p>
      <w:pPr>
        <w:pStyle w:val="TextBody"/>
        <w:bidi w:val="0"/>
        <w:spacing w:lineRule="auto" w:line="288" w:before="0" w:after="0"/>
        <w:ind w:left="0" w:right="0" w:hanging="1728"/>
        <w:jc w:val="left"/>
        <w:rPr>
          <w:rFonts w:ascii="Times New Roman;sans-serif" w:hAnsi="Times New Roman;sans-serif"/>
          <w:b w:val="false"/>
          <w:color w:val="000000"/>
          <w:sz w:val="22"/>
        </w:rPr>
      </w:pPr>
      <w:r>
        <w:rPr>
          <w:rFonts w:ascii="Times New Roman;sans-serif" w:hAnsi="Times New Roman;sans-serif"/>
          <w:b w:val="false"/>
          <w:color w:val="000000"/>
          <w:sz w:val="22"/>
        </w:rPr>
        <w:t>SECTION 9.04    Successors and Assigns    98</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9.05    Survival    </w:t>
      </w:r>
      <w:r>
        <w:rPr>
          <w:rFonts w:ascii="Times New Roman;sans-serif" w:hAnsi="Times New Roman;sans-serif"/>
          <w:b w:val="false"/>
          <w:strike/>
          <w:color w:val="FF0000"/>
          <w:sz w:val="22"/>
        </w:rPr>
        <w:t>100</w:t>
      </w:r>
      <w:r>
        <w:rPr>
          <w:rFonts w:ascii="Times New Roman;sans-serif" w:hAnsi="Times New Roman;sans-serif"/>
          <w:b w:val="false"/>
          <w:color w:val="0000FF"/>
          <w:sz w:val="22"/>
          <w:u w:val="single"/>
        </w:rPr>
        <w:t>101</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9.06    Counterparts; Integration; Effectiveness    </w:t>
      </w:r>
      <w:r>
        <w:rPr>
          <w:rFonts w:ascii="Times New Roman;sans-serif" w:hAnsi="Times New Roman;sans-serif"/>
          <w:b w:val="false"/>
          <w:strike/>
          <w:color w:val="FF0000"/>
          <w:sz w:val="22"/>
        </w:rPr>
        <w:t>101</w:t>
      </w:r>
      <w:r>
        <w:rPr>
          <w:rFonts w:ascii="Times New Roman;sans-serif" w:hAnsi="Times New Roman;sans-serif"/>
          <w:b w:val="false"/>
          <w:color w:val="0000FF"/>
          <w:sz w:val="22"/>
          <w:u w:val="single"/>
        </w:rPr>
        <w:t>102</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9.07    Severability    </w:t>
      </w:r>
      <w:r>
        <w:rPr>
          <w:rFonts w:ascii="Times New Roman;sans-serif" w:hAnsi="Times New Roman;sans-serif"/>
          <w:b w:val="false"/>
          <w:strike/>
          <w:color w:val="FF0000"/>
          <w:sz w:val="22"/>
        </w:rPr>
        <w:t>101</w:t>
      </w:r>
      <w:r>
        <w:rPr>
          <w:rFonts w:ascii="Times New Roman;sans-serif" w:hAnsi="Times New Roman;sans-serif"/>
          <w:b w:val="false"/>
          <w:color w:val="0000FF"/>
          <w:sz w:val="22"/>
          <w:u w:val="single"/>
        </w:rPr>
        <w:t>102</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9.08    Right of Setoff    </w:t>
      </w:r>
      <w:r>
        <w:rPr>
          <w:rFonts w:ascii="Times New Roman;sans-serif" w:hAnsi="Times New Roman;sans-serif"/>
          <w:b w:val="false"/>
          <w:strike/>
          <w:color w:val="FF0000"/>
          <w:sz w:val="22"/>
        </w:rPr>
        <w:t>101</w:t>
      </w:r>
      <w:r>
        <w:rPr>
          <w:rFonts w:ascii="Times New Roman;sans-serif" w:hAnsi="Times New Roman;sans-serif"/>
          <w:b w:val="false"/>
          <w:color w:val="0000FF"/>
          <w:sz w:val="22"/>
          <w:u w:val="single"/>
        </w:rPr>
        <w:t>102</w:t>
      </w:r>
    </w:p>
    <w:p>
      <w:pPr>
        <w:pStyle w:val="TextBody"/>
        <w:bidi w:val="0"/>
        <w:spacing w:lineRule="auto" w:line="288"/>
        <w:ind w:left="0" w:right="0" w:hanging="1728"/>
        <w:jc w:val="left"/>
        <w:rPr>
          <w:rFonts w:ascii="Times New Roman;sans-serif" w:hAnsi="Times New Roman;sans-serif"/>
          <w:b w:val="false"/>
          <w:color w:val="000000"/>
          <w:sz w:val="22"/>
        </w:rPr>
      </w:pPr>
      <w:r>
        <w:rPr>
          <w:rFonts w:ascii="Times New Roman;sans-serif" w:hAnsi="Times New Roman;sans-serif"/>
          <w:b w:val="false"/>
          <w:color w:val="000000"/>
          <w:sz w:val="22"/>
        </w:rPr>
        <w:t>SECTION 9.09    Governing Law; Jurisdiction; Consent to Service of Process    102</w:t>
      </w:r>
    </w:p>
    <w:p>
      <w:pPr>
        <w:pStyle w:val="TextBody"/>
        <w:bidi w:val="0"/>
        <w:spacing w:lineRule="auto" w:line="288" w:before="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4"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57.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9.10    WAIVER OF JURY TRIAL    </w:t>
      </w:r>
      <w:r>
        <w:rPr>
          <w:rFonts w:ascii="Times New Roman;sans-serif" w:hAnsi="Times New Roman;sans-serif"/>
          <w:b w:val="false"/>
          <w:strike/>
          <w:color w:val="FF0000"/>
          <w:sz w:val="22"/>
        </w:rPr>
        <w:t>102</w:t>
      </w:r>
      <w:r>
        <w:rPr>
          <w:rFonts w:ascii="Times New Roman;sans-serif" w:hAnsi="Times New Roman;sans-serif"/>
          <w:b w:val="false"/>
          <w:color w:val="0000FF"/>
          <w:sz w:val="22"/>
          <w:u w:val="single"/>
        </w:rPr>
        <w:t>103</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9.11    Headings    </w:t>
      </w:r>
      <w:r>
        <w:rPr>
          <w:rFonts w:ascii="Times New Roman;sans-serif" w:hAnsi="Times New Roman;sans-serif"/>
          <w:b w:val="false"/>
          <w:strike/>
          <w:color w:val="FF0000"/>
          <w:sz w:val="22"/>
        </w:rPr>
        <w:t>102</w:t>
      </w:r>
      <w:r>
        <w:rPr>
          <w:rFonts w:ascii="Times New Roman;sans-serif" w:hAnsi="Times New Roman;sans-serif"/>
          <w:b w:val="false"/>
          <w:color w:val="0000FF"/>
          <w:sz w:val="22"/>
          <w:u w:val="single"/>
        </w:rPr>
        <w:t>103</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9.12    Confidentiality    </w:t>
      </w:r>
      <w:r>
        <w:rPr>
          <w:rFonts w:ascii="Times New Roman;sans-serif" w:hAnsi="Times New Roman;sans-serif"/>
          <w:b w:val="false"/>
          <w:strike/>
          <w:color w:val="FF0000"/>
          <w:sz w:val="22"/>
        </w:rPr>
        <w:t>102</w:t>
      </w:r>
      <w:r>
        <w:rPr>
          <w:rFonts w:ascii="Times New Roman;sans-serif" w:hAnsi="Times New Roman;sans-serif"/>
          <w:b w:val="false"/>
          <w:color w:val="0000FF"/>
          <w:sz w:val="22"/>
          <w:u w:val="single"/>
        </w:rPr>
        <w:t>103</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9.13    Interest Rate Limitation    </w:t>
      </w:r>
      <w:r>
        <w:rPr>
          <w:rFonts w:ascii="Times New Roman;sans-serif" w:hAnsi="Times New Roman;sans-serif"/>
          <w:b w:val="false"/>
          <w:strike/>
          <w:color w:val="FF0000"/>
          <w:sz w:val="22"/>
        </w:rPr>
        <w:t>103</w:t>
      </w:r>
      <w:r>
        <w:rPr>
          <w:rFonts w:ascii="Times New Roman;sans-serif" w:hAnsi="Times New Roman;sans-serif"/>
          <w:b w:val="false"/>
          <w:color w:val="0000FF"/>
          <w:sz w:val="22"/>
          <w:u w:val="single"/>
        </w:rPr>
        <w:t>104</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9.14    USA Patriot Act    </w:t>
      </w:r>
      <w:r>
        <w:rPr>
          <w:rFonts w:ascii="Times New Roman;sans-serif" w:hAnsi="Times New Roman;sans-serif"/>
          <w:b w:val="false"/>
          <w:strike/>
          <w:color w:val="FF0000"/>
          <w:sz w:val="22"/>
        </w:rPr>
        <w:t>104</w:t>
      </w:r>
      <w:r>
        <w:rPr>
          <w:rFonts w:ascii="Times New Roman;sans-serif" w:hAnsi="Times New Roman;sans-serif"/>
          <w:b w:val="false"/>
          <w:color w:val="0000FF"/>
          <w:sz w:val="22"/>
          <w:u w:val="single"/>
        </w:rPr>
        <w:t>105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9.15    No Advisory or Fiduciary Responsibility    </w:t>
      </w:r>
      <w:r>
        <w:rPr>
          <w:rFonts w:ascii="Times New Roman;sans-serif" w:hAnsi="Times New Roman;sans-serif"/>
          <w:b w:val="false"/>
          <w:strike/>
          <w:color w:val="FF0000"/>
          <w:sz w:val="22"/>
        </w:rPr>
        <w:t>104</w:t>
      </w:r>
      <w:r>
        <w:rPr>
          <w:rFonts w:ascii="Times New Roman;sans-serif" w:hAnsi="Times New Roman;sans-serif"/>
          <w:b w:val="false"/>
          <w:color w:val="0000FF"/>
          <w:sz w:val="22"/>
          <w:u w:val="single"/>
        </w:rPr>
        <w:t>105</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9.16    Judgment Currency    </w:t>
      </w:r>
      <w:r>
        <w:rPr>
          <w:rFonts w:ascii="Times New Roman;sans-serif" w:hAnsi="Times New Roman;sans-serif"/>
          <w:b w:val="false"/>
          <w:strike/>
          <w:color w:val="FF0000"/>
          <w:sz w:val="22"/>
        </w:rPr>
        <w:t>105</w:t>
      </w:r>
      <w:r>
        <w:rPr>
          <w:rFonts w:ascii="Times New Roman;sans-serif" w:hAnsi="Times New Roman;sans-serif"/>
          <w:b w:val="false"/>
          <w:color w:val="0000FF"/>
          <w:sz w:val="22"/>
          <w:u w:val="single"/>
        </w:rPr>
        <w:t>106</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9.17    Electronic Execution of Assignments and Certain Other Documents    </w:t>
      </w:r>
      <w:r>
        <w:rPr>
          <w:rFonts w:ascii="Times New Roman;sans-serif" w:hAnsi="Times New Roman;sans-serif"/>
          <w:b w:val="false"/>
          <w:strike/>
          <w:color w:val="FF0000"/>
          <w:sz w:val="22"/>
        </w:rPr>
        <w:t>105</w:t>
      </w:r>
      <w:r>
        <w:rPr>
          <w:rFonts w:ascii="Times New Roman;sans-serif" w:hAnsi="Times New Roman;sans-serif"/>
          <w:b w:val="false"/>
          <w:color w:val="0000FF"/>
          <w:sz w:val="22"/>
          <w:u w:val="single"/>
        </w:rPr>
        <w:t>106</w:t>
      </w:r>
    </w:p>
    <w:p>
      <w:pPr>
        <w:pStyle w:val="TextBody"/>
        <w:bidi w:val="0"/>
        <w:spacing w:lineRule="auto" w:line="288" w:before="0" w:after="0"/>
        <w:ind w:left="0" w:right="0" w:hanging="1728"/>
        <w:jc w:val="left"/>
        <w:rPr/>
      </w:pPr>
      <w:r>
        <w:rPr>
          <w:rFonts w:ascii="Times New Roman;sans-serif" w:hAnsi="Times New Roman;sans-serif"/>
          <w:b w:val="false"/>
          <w:color w:val="000000"/>
          <w:sz w:val="22"/>
        </w:rPr>
        <w:t>SECTION 9.18    Acknowledgement and Consent to Bail-In of Affected Financial Institutions    </w:t>
      </w:r>
      <w:r>
        <w:rPr>
          <w:rFonts w:ascii="Times New Roman;sans-serif" w:hAnsi="Times New Roman;sans-serif"/>
          <w:b w:val="false"/>
          <w:strike/>
          <w:color w:val="FF0000"/>
          <w:sz w:val="22"/>
        </w:rPr>
        <w:t>105</w:t>
      </w:r>
      <w:r>
        <w:rPr>
          <w:rFonts w:ascii="Times New Roman;sans-serif" w:hAnsi="Times New Roman;sans-serif"/>
          <w:b w:val="false"/>
          <w:color w:val="0000FF"/>
          <w:sz w:val="22"/>
          <w:u w:val="single"/>
        </w:rPr>
        <w:t>106</w:t>
      </w:r>
    </w:p>
    <w:p>
      <w:pPr>
        <w:pStyle w:val="TextBody"/>
        <w:bidi w:val="0"/>
        <w:spacing w:before="0" w:after="0"/>
        <w:ind w:left="0" w:right="0" w:hanging="1728"/>
        <w:jc w:val="left"/>
        <w:rPr/>
      </w:pPr>
      <w:r>
        <w:rPr/>
      </w:r>
    </w:p>
    <w:p>
      <w:pPr>
        <w:pStyle w:val="TextBody"/>
        <w:bidi w:val="0"/>
        <w:spacing w:lineRule="auto" w:line="288" w:before="240" w:after="240"/>
        <w:jc w:val="left"/>
        <w:rPr/>
      </w:pPr>
      <w:r>
        <w:rPr>
          <w:rFonts w:ascii="Times New Roman;sans-serif" w:hAnsi="Times New Roman;sans-serif"/>
          <w:b w:val="false"/>
          <w:color w:val="000000"/>
          <w:sz w:val="22"/>
          <w:u w:val="single"/>
        </w:rPr>
        <w:t>SCHEDULES</w:t>
      </w:r>
      <w:r>
        <w:rPr>
          <w:rFonts w:ascii="Times New Roman;sans-serif" w:hAnsi="Times New Roman;sans-serif"/>
          <w:b w:val="false"/>
          <w:color w:val="000000"/>
          <w:sz w:val="22"/>
        </w:rPr>
        <w: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2.01    –    Commitments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2.05    –    Existing Letters of Credit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2.20    –    KPI Metrics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3.06    –    Disclosed Matters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6.02    –    Existing Liens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Schedule 9.01    –    Administrative Agent’s Office</w:t>
      </w:r>
    </w:p>
    <w:p>
      <w:pPr>
        <w:pStyle w:val="TextBody"/>
        <w:bidi w:val="0"/>
        <w:spacing w:lineRule="auto" w:line="288" w:before="0" w:after="240"/>
        <w:jc w:val="left"/>
        <w:rPr/>
      </w:pPr>
      <w:r>
        <w:rPr>
          <w:rFonts w:ascii="Times New Roman;sans-serif" w:hAnsi="Times New Roman;sans-serif"/>
          <w:b w:val="false"/>
          <w:color w:val="000000"/>
          <w:sz w:val="22"/>
          <w:u w:val="single"/>
        </w:rPr>
        <w:t>EXHIBITS</w:t>
      </w:r>
      <w:r>
        <w:rPr>
          <w:rFonts w:ascii="Times New Roman;sans-serif" w:hAnsi="Times New Roman;sans-serif"/>
          <w:b w:val="false"/>
          <w:color w:val="000000"/>
          <w:sz w:val="22"/>
        </w:rPr>
        <w: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A    –    Form of Assignment and Assumption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B    –    Form of Borrowing Request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C    –    Form of United States Tax Compliance Certificate</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D    –    Form of Additional Borrower Agreement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E     –    Form of Sustainability Pricing Certificate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5"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AMENDED AND RESTATED CREDIT AGREEMENT, dated as of December 16, 2022, and as amended by Amendment No. 1, dated as of March 29, 2023,Amendment No. 2, dated as of June 16, </w:t>
      </w:r>
      <w:r>
        <w:rPr>
          <w:rFonts w:ascii="Times New Roman;sans-serif" w:hAnsi="Times New Roman;sans-serif"/>
          <w:b w:val="false"/>
          <w:strike/>
          <w:color w:val="FF0000"/>
          <w:sz w:val="22"/>
        </w:rPr>
        <w:t>2023 and</w:t>
      </w:r>
      <w:r>
        <w:rPr>
          <w:rFonts w:ascii="Times New Roman;sans-serif" w:hAnsi="Times New Roman;sans-serif"/>
          <w:b w:val="false"/>
          <w:color w:val="0000FF"/>
          <w:sz w:val="22"/>
          <w:u w:val="single"/>
        </w:rPr>
        <w:t>2023,</w:t>
      </w:r>
      <w:r>
        <w:rPr>
          <w:color w:val="000000"/>
        </w:rPr>
        <w:t xml:space="preserve"> </w:t>
      </w:r>
      <w:r>
        <w:rPr>
          <w:rFonts w:ascii="Times New Roman;sans-serif" w:hAnsi="Times New Roman;sans-serif"/>
          <w:b w:val="false"/>
          <w:color w:val="000000"/>
          <w:sz w:val="22"/>
        </w:rPr>
        <w:t xml:space="preserve">Amendment No. 3, dated as of August 2, </w:t>
      </w:r>
      <w:r>
        <w:rPr>
          <w:rFonts w:ascii="Times New Roman;sans-serif" w:hAnsi="Times New Roman;sans-serif"/>
          <w:b w:val="false"/>
          <w:strike/>
          <w:color w:val="FF0000"/>
          <w:sz w:val="22"/>
        </w:rPr>
        <w:t>2024</w:t>
      </w:r>
      <w:r>
        <w:rPr>
          <w:rFonts w:ascii="Times New Roman;sans-serif" w:hAnsi="Times New Roman;sans-serif"/>
          <w:b w:val="false"/>
          <w:color w:val="0000FF"/>
          <w:sz w:val="22"/>
          <w:u w:val="single"/>
        </w:rPr>
        <w:t>2024, and Amendment No. 4, dated as of December 16, 2024,</w:t>
      </w:r>
      <w:r>
        <w:rPr>
          <w:color w:val="000000"/>
        </w:rPr>
        <w:t xml:space="preserve"> </w:t>
      </w:r>
      <w:r>
        <w:rPr>
          <w:rFonts w:ascii="Times New Roman;sans-serif" w:hAnsi="Times New Roman;sans-serif"/>
          <w:b w:val="false"/>
          <w:color w:val="000000"/>
          <w:sz w:val="22"/>
        </w:rPr>
        <w:t>and as may be further amended, restated, amended and restated, supplemented or otherwise modified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among NASDAQ,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any Additional Borrowers (as defined below) that become party to this Agreement from time to time, the LENDERS party hereto, and BANK OF AMERICA, N.A. (“</w:t>
      </w:r>
      <w:r>
        <w:rPr>
          <w:rFonts w:ascii="Times New Roman;sans-serif" w:hAnsi="Times New Roman;sans-serif"/>
          <w:b w:val="false"/>
          <w:color w:val="000000"/>
          <w:sz w:val="22"/>
          <w:u w:val="single"/>
        </w:rPr>
        <w:t>Bank of America</w:t>
      </w:r>
      <w:r>
        <w:rPr>
          <w:color w:val="000000"/>
        </w:rPr>
        <w:t>”</w:t>
      </w:r>
      <w:r>
        <w:rPr>
          <w:rFonts w:ascii="Times New Roman;sans-serif" w:hAnsi="Times New Roman;sans-serif"/>
          <w:b w:val="false"/>
          <w:color w:val="000000"/>
          <w:sz w:val="22"/>
        </w:rPr>
        <w:t>), as Administrative Agent and Issuing Bank.</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The Borrower is party to that certain Credit Agreement, dated as of December 21, 2020 (as amended and modified by that certain LIBOR Transition Amendment, dated as of October 19, 2021 and as otherwise amended, restated, amended and restated or otherwise modified prior to the date hereof,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 among the Borrower, Bank of America, as administrative agent and issuing bank, and the other lenders party thereto.</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Borrower has requested, and the Lenders party hereto hereby consent to, the amendment and restatement of the Existing Credit Agreement on the terms and subject to the conditions set forth herein.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Accordingly, the parties hereto agree as follows:</w:t>
      </w:r>
    </w:p>
    <w:p>
      <w:pPr>
        <w:pStyle w:val="TextBody"/>
        <w:bidi w:val="0"/>
        <w:spacing w:lineRule="auto" w:line="288" w:before="0" w:after="240"/>
        <w:jc w:val="center"/>
        <w:rPr/>
      </w:pPr>
      <w:r>
        <w:rPr>
          <w:rFonts w:ascii="Times New Roman;sans-serif" w:hAnsi="Times New Roman;sans-serif"/>
          <w:b w:val="false"/>
          <w:color w:val="000000"/>
          <w:sz w:val="22"/>
        </w:rPr>
        <w:t>ARTICLE I</w:t>
      </w:r>
      <w:r>
        <w:rPr>
          <w:rFonts w:ascii="Times New Roman;sans-serif" w:hAnsi="Times New Roman;sans-serif"/>
          <w:b w:val="false"/>
          <w:color w:val="000000"/>
          <w:sz w:val="22"/>
        </w:rPr>
        <w:br/>
        <w:br/>
        <w:t>DEFINITIONS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1.01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As used in this Agreement, the following terms have the meanings specified below:</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ABR</w:t>
      </w:r>
      <w:r>
        <w:rPr>
          <w:rFonts w:ascii="Times New Roman;sans-serif" w:hAnsi="Times New Roman;sans-serif"/>
          <w:b w:val="false"/>
          <w:color w:val="000000"/>
          <w:sz w:val="22"/>
        </w:rPr>
        <w:t>,” when used in reference to any Loan or Borrowing, refers to whether such Loan, or the Loans comprising such Borrowing, are bearing interest at a rate determined by reference to the Base Rate.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ABR Gross-Up Amount</w:t>
      </w:r>
      <w:r>
        <w:rPr>
          <w:color w:val="000000"/>
        </w:rPr>
        <w:t xml:space="preserve">” </w:t>
      </w:r>
      <w:r>
        <w:rPr>
          <w:rFonts w:ascii="Times New Roman;sans-serif" w:hAnsi="Times New Roman;sans-serif"/>
          <w:b w:val="false"/>
          <w:color w:val="000000"/>
          <w:sz w:val="22"/>
        </w:rPr>
        <w:t>means, with respect to any Non-ABR Lender’s ABR Loan for any day on which such ABR Loan is outstanding, the lesser of: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actual amount (as determined in good faith by the applicable Non-ABR Lender and set forth in a reasonably detailed certificate delivered to the Borrower) by which (i) such Non-ABR Lender’s cost of funding such Non-ABR Lender’s ABR Loan for such day exceeded (ii) the Base Rate for such day minus 1.00% per annum;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amount by which (i) the Benchmark Rate for an interest period of one day commencing on such date (or, if such day is not a Business Day, the preceding Business Day) exceeded (ii) the Base Rate for such day minus 1.00% per annum.</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Acquisition</w:t>
      </w:r>
      <w:r>
        <w:rPr>
          <w:color w:val="000000"/>
        </w:rPr>
        <w:t xml:space="preserve">” </w:t>
      </w:r>
      <w:r>
        <w:rPr>
          <w:rFonts w:ascii="Times New Roman;sans-serif" w:hAnsi="Times New Roman;sans-serif"/>
          <w:b w:val="false"/>
          <w:color w:val="000000"/>
          <w:sz w:val="22"/>
        </w:rPr>
        <w:t>means any acquisition by the Borrower or a Subsidiary of (i) a majority of the outstanding Equity Interests in, or all or substantially all the assets of, or the assets constituting a division or line of business of, a Person or (ii) any asset of another Person constituting a business unit of such other Person.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Acquisition Debt</w:t>
      </w:r>
      <w:r>
        <w:rPr>
          <w:color w:val="000000"/>
        </w:rPr>
        <w:t xml:space="preserve">” </w:t>
      </w:r>
      <w:r>
        <w:rPr>
          <w:rFonts w:ascii="Times New Roman;sans-serif" w:hAnsi="Times New Roman;sans-serif"/>
          <w:b w:val="false"/>
          <w:color w:val="000000"/>
          <w:sz w:val="22"/>
        </w:rPr>
        <w:t xml:space="preserve">means any indebtedness for borrowed money of the Borrower or any of its Subsidiaries that has been issued for the purpose of financing, in whole or in part, an Acquisition and any </w:t>
      </w:r>
    </w:p>
    <w:p>
      <w:pPr>
        <w:pStyle w:val="TextBody"/>
        <w:bidi w:val="0"/>
        <w:spacing w:before="0" w:after="24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related transactions or series of related transactions (including for the purpose of refinancing or replacing all or a portion of any pre-existing Indebtedness for borrowed money of the Borrower, any of its Subsidiaries or the Person(s) or assets to be acquired);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either (a)(i) the release of the proceeds thereof to the Borrower and its Subsidiaries is contingent upon the consummation of such Acquisition and, pending such release, such proceeds are held pursuant to an escrow or similar arrangement and (ii) if the definitive agreement (or, in the case of a tender offer or similar transaction, the definitive offer document) for such Acquisition is terminated prior to the consummation of such Acquisition or if such Acquisition is otherwise not consummated by the date specified in the definitive documentation relating to such Indebtedness for borrowed money, such proceeds shall be promptly applied to satisfy and discharge all obligations of the Borrower and its Subsidiaries in respect of such Indebtedness for borrowed money, (b)(i) such Indebtedness for borrowed money contains a “special mandatory redemption” provision (or other similar provision) or otherwise permits such Indebtedness for borrowed money to be redeemed or prepaid if such Acquisition is not consummated by the date specified in the definitive documentation relating to such Indebtedness for borrowed money, and (ii) if the definitive agreement (or, in the case of a tender offer or similar transaction, the definitive offer document) for such Acquisition is terminated in accordance with its terms prior to the consummation of such Acquisition or such Acquisition is otherwise not consummated by the date specified in the definitive documentation relating to such Indebtedness for borrowed money, such Indebtedness for borrowed money is so redeemed or prepaid within ninety (90) days of such termination or such specified date, as the case may be or (c) such Indebtedness for borrowed money consists of commercial paper (it being understood that in the event that the definitive agreement (or, in the case of a tender offer or similar transaction, the definitive offer document) for such Acquisition is terminated in accordance with its terms prior to the consummation of such Acquisition, then such commercial paper will cease to constitute Acquisition Debt if such commercial paper remains outstanding on the date that is ninety (90) days following such termination).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Acquisition Holiday</w:t>
      </w:r>
      <w:r>
        <w:rPr>
          <w:color w:val="000000"/>
        </w:rPr>
        <w:t xml:space="preserve">” </w:t>
      </w:r>
      <w:r>
        <w:rPr>
          <w:rFonts w:ascii="Times New Roman;sans-serif" w:hAnsi="Times New Roman;sans-serif"/>
          <w:b w:val="false"/>
          <w:color w:val="000000"/>
          <w:sz w:val="22"/>
        </w:rPr>
        <w:t>shall have the meaning provided in Section 6.06.</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Additional Borrower</w:t>
      </w:r>
      <w:r>
        <w:rPr>
          <w:color w:val="000000"/>
        </w:rPr>
        <w:t xml:space="preserve">” </w:t>
      </w:r>
      <w:r>
        <w:rPr>
          <w:rFonts w:ascii="Times New Roman;sans-serif" w:hAnsi="Times New Roman;sans-serif"/>
          <w:b w:val="false"/>
          <w:color w:val="000000"/>
          <w:sz w:val="22"/>
        </w:rPr>
        <w:t>shall have the meaning provided in Section 1.10.</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Additional Borrower Agreement</w:t>
      </w:r>
      <w:r>
        <w:rPr>
          <w:color w:val="000000"/>
        </w:rPr>
        <w:t xml:space="preserve">” </w:t>
      </w:r>
      <w:r>
        <w:rPr>
          <w:rFonts w:ascii="Times New Roman;sans-serif" w:hAnsi="Times New Roman;sans-serif"/>
          <w:b w:val="false"/>
          <w:color w:val="000000"/>
          <w:sz w:val="22"/>
        </w:rPr>
        <w:t>means the Additional Borrower Agreement substantially in the form of Exhibit 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Additional Lender</w:t>
      </w:r>
      <w:r>
        <w:rPr>
          <w:color w:val="000000"/>
        </w:rPr>
        <w:t xml:space="preserve">” </w:t>
      </w:r>
      <w:r>
        <w:rPr>
          <w:rFonts w:ascii="Times New Roman;sans-serif" w:hAnsi="Times New Roman;sans-serif"/>
          <w:b w:val="false"/>
          <w:color w:val="000000"/>
          <w:sz w:val="22"/>
        </w:rPr>
        <w:t>has the meaning assigned to such term in Section 2.18(b).</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Addressable Spend</w:t>
      </w:r>
      <w:r>
        <w:rPr>
          <w:color w:val="000000"/>
        </w:rPr>
        <w:t xml:space="preserve">” </w:t>
      </w:r>
      <w:r>
        <w:rPr>
          <w:rFonts w:ascii="Times New Roman;sans-serif" w:hAnsi="Times New Roman;sans-serif"/>
          <w:b w:val="false"/>
          <w:color w:val="000000"/>
          <w:sz w:val="22"/>
        </w:rPr>
        <w:t>means spending in which the Borrower has the ability to select the provider of the goods and services and/or benefit from a sourcing event, including, without limitation, Tier 1 Spend and Tier 2 Spend.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means Bank of America, in its capacity as administrative agent for the Lenders hereunder, and its successors in such capacity as provided in Article VIII.</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Administrative Agent’s Office</w:t>
      </w:r>
      <w:r>
        <w:rPr>
          <w:color w:val="000000"/>
        </w:rPr>
        <w:t xml:space="preserve">” </w:t>
      </w:r>
      <w:r>
        <w:rPr>
          <w:rFonts w:ascii="Times New Roman;sans-serif" w:hAnsi="Times New Roman;sans-serif"/>
          <w:b w:val="false"/>
          <w:color w:val="000000"/>
          <w:sz w:val="22"/>
        </w:rPr>
        <w:t xml:space="preserve">means the Administrative Agent’s address and, as appropriate, account as set forth on </w:t>
      </w:r>
      <w:r>
        <w:rPr>
          <w:rFonts w:ascii="Times New Roman;sans-serif" w:hAnsi="Times New Roman;sans-serif"/>
          <w:b w:val="false"/>
          <w:color w:val="000000"/>
          <w:sz w:val="22"/>
          <w:u w:val="single"/>
        </w:rPr>
        <w:t>Schedule 9.01</w:t>
      </w:r>
      <w:r>
        <w:rPr>
          <w:rFonts w:ascii="Times New Roman;sans-serif" w:hAnsi="Times New Roman;sans-serif"/>
          <w:b w:val="false"/>
          <w:color w:val="000000"/>
          <w:sz w:val="22"/>
        </w:rPr>
        <w:t>, or such other address or account as the Administrative Agent may from time to time notify to the Borrower and the Lenders.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means an administrative questionnaire in a form supplied by the Administrative Agent.</w:t>
      </w:r>
    </w:p>
    <w:p>
      <w:pPr>
        <w:pStyle w:val="TextBody"/>
        <w:bidi w:val="0"/>
        <w:spacing w:before="0" w:after="24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Agent Parties</w:t>
      </w:r>
      <w:r>
        <w:rPr>
          <w:color w:val="000000"/>
        </w:rPr>
        <w:t xml:space="preserve">” </w:t>
      </w:r>
      <w:r>
        <w:rPr>
          <w:rFonts w:ascii="Times New Roman;sans-serif" w:hAnsi="Times New Roman;sans-serif"/>
          <w:b w:val="false"/>
          <w:color w:val="000000"/>
          <w:sz w:val="22"/>
        </w:rPr>
        <w:t>has the meaning set forth in Section 9.01.</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has the meaning assigned to such term in the preamble hereto.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Agreement Currency</w:t>
      </w:r>
      <w:r>
        <w:rPr>
          <w:color w:val="000000"/>
        </w:rPr>
        <w:t xml:space="preserve">” </w:t>
      </w:r>
      <w:r>
        <w:rPr>
          <w:rFonts w:ascii="Times New Roman;sans-serif" w:hAnsi="Times New Roman;sans-serif"/>
          <w:b w:val="false"/>
          <w:color w:val="000000"/>
          <w:sz w:val="22"/>
        </w:rPr>
        <w:t>has the meaning assigned to such term by Section 9.16.</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Alternative Currency</w:t>
      </w:r>
      <w:r>
        <w:rPr>
          <w:color w:val="000000"/>
        </w:rPr>
        <w:t xml:space="preserve">” </w:t>
      </w:r>
      <w:r>
        <w:rPr>
          <w:rFonts w:ascii="Times New Roman;sans-serif" w:hAnsi="Times New Roman;sans-serif"/>
          <w:b w:val="false"/>
          <w:color w:val="000000"/>
          <w:sz w:val="22"/>
        </w:rPr>
        <w:t>means each of Euro, Sterling, Norwegian Kroner, Swedish Kronor, Danish Kroner, Canadian Dollars and each other currency (other than Dollars) that is approved in accordance with Section 1.08.</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Alternative Currency Equivalent</w:t>
      </w:r>
      <w:r>
        <w:rPr>
          <w:color w:val="000000"/>
        </w:rPr>
        <w:t xml:space="preserve">” </w:t>
      </w:r>
      <w:r>
        <w:rPr>
          <w:rFonts w:ascii="Times New Roman;sans-serif" w:hAnsi="Times New Roman;sans-serif"/>
          <w:b w:val="false"/>
          <w:color w:val="000000"/>
          <w:sz w:val="22"/>
        </w:rPr>
        <w:t>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Alternative Currency Loan</w:t>
      </w:r>
      <w:r>
        <w:rPr>
          <w:color w:val="000000"/>
        </w:rPr>
        <w:t xml:space="preserve">” </w:t>
      </w:r>
      <w:r>
        <w:rPr>
          <w:rFonts w:ascii="Times New Roman;sans-serif" w:hAnsi="Times New Roman;sans-serif"/>
          <w:b w:val="false"/>
          <w:color w:val="000000"/>
          <w:sz w:val="22"/>
        </w:rPr>
        <w:t>means a Loan denominated in an Alternative Currency, as applicable.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Alternative Currency Scheduled Unavailability Date</w:t>
      </w:r>
      <w:r>
        <w:rPr>
          <w:color w:val="000000"/>
        </w:rPr>
        <w:t xml:space="preserve">” </w:t>
      </w:r>
      <w:r>
        <w:rPr>
          <w:rFonts w:ascii="Times New Roman;sans-serif" w:hAnsi="Times New Roman;sans-serif"/>
          <w:b w:val="false"/>
          <w:color w:val="000000"/>
          <w:sz w:val="22"/>
        </w:rPr>
        <w:t xml:space="preserve">has the meaning specified in Section 2.12(c)(ii).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Alternative Currency Sublimit</w:t>
      </w:r>
      <w:r>
        <w:rPr>
          <w:color w:val="000000"/>
        </w:rPr>
        <w:t xml:space="preserve">” </w:t>
      </w:r>
      <w:r>
        <w:rPr>
          <w:rFonts w:ascii="Times New Roman;sans-serif" w:hAnsi="Times New Roman;sans-serif"/>
          <w:b w:val="false"/>
          <w:color w:val="000000"/>
          <w:sz w:val="22"/>
        </w:rPr>
        <w:t>means, subject to Section 2.04(d), (i) in the case of the Revolving A Facility, $452,500,000 and (ii) in the case of the Revolving B Facility, $172,500,000.</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Alternative Currency Successor Rate</w:t>
      </w:r>
      <w:r>
        <w:rPr>
          <w:color w:val="000000"/>
        </w:rPr>
        <w:t xml:space="preserve">” </w:t>
      </w:r>
      <w:r>
        <w:rPr>
          <w:rFonts w:ascii="Times New Roman;sans-serif" w:hAnsi="Times New Roman;sans-serif"/>
          <w:b w:val="false"/>
          <w:color w:val="000000"/>
          <w:sz w:val="22"/>
        </w:rPr>
        <w:t xml:space="preserve">has the meaning specified in Section 2.12(c).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Amendment No. 1</w:t>
      </w:r>
      <w:r>
        <w:rPr>
          <w:color w:val="000000"/>
        </w:rPr>
        <w:t xml:space="preserve">” </w:t>
      </w:r>
      <w:r>
        <w:rPr>
          <w:rFonts w:ascii="Times New Roman;sans-serif" w:hAnsi="Times New Roman;sans-serif"/>
          <w:b w:val="false"/>
          <w:color w:val="000000"/>
          <w:sz w:val="22"/>
        </w:rPr>
        <w:t>means that certain Amendment No. 1 to Amended and Restated Credit Agreement, dated as of the Amendment No. 1 Effective Date, by and among the Borrower, the Sustainability Coordinator, the Administrative Agent and the Lenders party thereto.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Amendment No. 1 Effective Date</w:t>
      </w:r>
      <w:r>
        <w:rPr>
          <w:color w:val="000000"/>
        </w:rPr>
        <w:t xml:space="preserve">” </w:t>
      </w:r>
      <w:r>
        <w:rPr>
          <w:rFonts w:ascii="Times New Roman;sans-serif" w:hAnsi="Times New Roman;sans-serif"/>
          <w:b w:val="false"/>
          <w:color w:val="000000"/>
          <w:sz w:val="22"/>
        </w:rPr>
        <w:t>means March 29, 2023.</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Amendment No. 2</w:t>
      </w:r>
      <w:r>
        <w:rPr>
          <w:color w:val="000000"/>
        </w:rPr>
        <w:t xml:space="preserve">” </w:t>
      </w:r>
      <w:r>
        <w:rPr>
          <w:rFonts w:ascii="Times New Roman;sans-serif" w:hAnsi="Times New Roman;sans-serif"/>
          <w:b w:val="false"/>
          <w:color w:val="000000"/>
          <w:sz w:val="22"/>
        </w:rPr>
        <w:t>means that certain Amendment No. 2, dated as of the Amendment No. 2 Effective Date, by and among the Borrower, the Administrative Agent and the Lenders party thereto.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Amendment No. 2 Effective Date</w:t>
      </w:r>
      <w:r>
        <w:rPr>
          <w:color w:val="000000"/>
        </w:rPr>
        <w:t xml:space="preserve">” </w:t>
      </w:r>
      <w:r>
        <w:rPr>
          <w:rFonts w:ascii="Times New Roman;sans-serif" w:hAnsi="Times New Roman;sans-serif"/>
          <w:b w:val="false"/>
          <w:color w:val="000000"/>
          <w:sz w:val="22"/>
        </w:rPr>
        <w:t>means June 16, 2023.</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Amendment No. 3</w:t>
      </w:r>
      <w:r>
        <w:rPr>
          <w:color w:val="000000"/>
        </w:rPr>
        <w:t xml:space="preserve">” </w:t>
      </w:r>
      <w:r>
        <w:rPr>
          <w:rFonts w:ascii="Times New Roman;sans-serif" w:hAnsi="Times New Roman;sans-serif"/>
          <w:b w:val="false"/>
          <w:color w:val="000000"/>
          <w:sz w:val="22"/>
        </w:rPr>
        <w:t>means that certain Amendment No. 3 to Amended and Restated Credit Agreement, dated as of the Amendment No. 3 Effective Date, by and among the Borrower, the Administrative Agent and the Lenders.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Amendment No. 3 Effective Date</w:t>
      </w:r>
      <w:r>
        <w:rPr>
          <w:color w:val="000000"/>
        </w:rPr>
        <w:t xml:space="preserve">” </w:t>
      </w:r>
      <w:r>
        <w:rPr>
          <w:rFonts w:ascii="Times New Roman;sans-serif" w:hAnsi="Times New Roman;sans-serif"/>
          <w:b w:val="false"/>
          <w:color w:val="000000"/>
          <w:sz w:val="22"/>
        </w:rPr>
        <w:t xml:space="preserve">means August 2, 2024. </w:t>
      </w:r>
    </w:p>
    <w:p>
      <w:pPr>
        <w:pStyle w:val="TextBody"/>
        <w:bidi w:val="0"/>
        <w:spacing w:before="0" w:after="24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color w:val="0000FF"/>
          <w:u w:val="single"/>
        </w:rPr>
      </w:pPr>
      <w:r>
        <w:rPr>
          <w:color w:val="0000FF"/>
          <w:u w:val="single"/>
        </w:rPr>
        <w:t>“</w:t>
      </w:r>
      <w:r>
        <w:rPr>
          <w:rFonts w:ascii="Times New Roman;sans-serif" w:hAnsi="Times New Roman;sans-serif"/>
          <w:b w:val="false"/>
          <w:color w:val="0000FF"/>
          <w:sz w:val="22"/>
          <w:u w:val="single"/>
        </w:rPr>
        <w:t>Amendment No. 4” means that certain Amendment No. 4 to Amended and Restated Credit Agreement, dated as of the Amendment No. 4 Effective Date, by and among the Borrower, the Administrative Agent, the Sustainability Coordinator and the Lenders party thereto.</w:t>
      </w:r>
    </w:p>
    <w:p>
      <w:pPr>
        <w:pStyle w:val="TextBody"/>
        <w:bidi w:val="0"/>
        <w:spacing w:lineRule="auto" w:line="288" w:before="0" w:after="240"/>
        <w:ind w:left="0" w:right="0" w:firstLine="720"/>
        <w:jc w:val="left"/>
        <w:rPr>
          <w:color w:val="0000FF"/>
          <w:u w:val="single"/>
        </w:rPr>
      </w:pPr>
      <w:r>
        <w:rPr>
          <w:color w:val="0000FF"/>
          <w:u w:val="single"/>
        </w:rPr>
        <w:t>“</w:t>
      </w:r>
      <w:r>
        <w:rPr>
          <w:rFonts w:ascii="Times New Roman;sans-serif" w:hAnsi="Times New Roman;sans-serif"/>
          <w:b w:val="false"/>
          <w:color w:val="0000FF"/>
          <w:sz w:val="22"/>
          <w:u w:val="single"/>
        </w:rPr>
        <w:t xml:space="preserve">Amendment No. 4 Effective Date” means December 16, 2024.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Anti-Corruption Laws</w:t>
      </w:r>
      <w:r>
        <w:rPr>
          <w:color w:val="000000"/>
        </w:rPr>
        <w:t xml:space="preserve">” </w:t>
      </w:r>
      <w:r>
        <w:rPr>
          <w:rFonts w:ascii="Times New Roman;sans-serif" w:hAnsi="Times New Roman;sans-serif"/>
          <w:b w:val="false"/>
          <w:color w:val="000000"/>
          <w:sz w:val="22"/>
        </w:rPr>
        <w:t>means the Foreign Corrupt Practices Act of 1977 (as amended), the UK Bribery Act 2010, and other anti-corruption or anti-bribery laws and regulations applicable to the Borrower or its Subsidiaries from time to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Applicable Authority</w:t>
      </w:r>
      <w:r>
        <w:rPr>
          <w:color w:val="000000"/>
        </w:rPr>
        <w:t xml:space="preserve">” </w:t>
      </w:r>
      <w:r>
        <w:rPr>
          <w:rFonts w:ascii="Times New Roman;sans-serif" w:hAnsi="Times New Roman;sans-serif"/>
          <w:b w:val="false"/>
          <w:color w:val="000000"/>
          <w:sz w:val="22"/>
        </w:rPr>
        <w:t>means (a) with respect to SOFR and Term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Applicable Reference Rate for such Alternative Currency or any Governmental Authority having jurisdiction over the Administrative Agent or such administrator with respect to its publication of the applicable Applicable Reference Rate, in each case acting in such capacity.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Currency</w:t>
      </w:r>
      <w:r>
        <w:rPr>
          <w:color w:val="000000"/>
        </w:rPr>
        <w:t xml:space="preserve">” </w:t>
      </w:r>
      <w:r>
        <w:rPr>
          <w:rFonts w:ascii="Times New Roman;sans-serif" w:hAnsi="Times New Roman;sans-serif"/>
          <w:b w:val="false"/>
          <w:color w:val="000000"/>
          <w:sz w:val="22"/>
        </w:rPr>
        <w:t>means Dollars or any Alternative Currency that bears interest at a rate based on an Applicable Reference Rate, as applicable.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means, at any time with respect to any Revolving A Lender or any Revolving B Lender, the percentage, rounded to the ninth decimal place, of the aggregate Revolving A Commitments or Revolving B Commitments, respectively, represented by such Revolving A Lender’s or Revolving B Lender’s, as the case may be, Revolving A Commitment or Revolving B Commitment, respectively, at such time. If the Revolving A Commitments have terminated or expired, the Applicable Percentages shall be determined based upon the Revolving A Commitments most recently in effect, giving effect to any assignments of Revolving A Loans and Tranche A LC Exposures that occur after such termination or expiration and to any Lender’s status as a Defaulting Lender at the time of determination. If the Revolving B Commitments have terminated or expired, the Applicable Percentages shall be determined based upon the Revolving B Commitments most recently in effect, giving effect to any assignments of Revolving B Loans and Tranche B LC Exposures that occur after such termination or expiration and to any Lender’s status as a Defaulting Lender at the time of determination.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Applicable Rate</w:t>
      </w:r>
      <w:r>
        <w:rPr>
          <w:color w:val="000000"/>
        </w:rPr>
        <w:t xml:space="preserve">” </w:t>
      </w:r>
      <w:r>
        <w:rPr>
          <w:rFonts w:ascii="Times New Roman;sans-serif" w:hAnsi="Times New Roman;sans-serif"/>
          <w:b w:val="false"/>
          <w:color w:val="000000"/>
          <w:sz w:val="22"/>
        </w:rPr>
        <w:t>means, from time to time, the following percentages per annum, based upon the Debt Rating as set forth below:</w:t>
      </w:r>
    </w:p>
    <w:tbl>
      <w:tblPr>
        <w:tblW w:w="10205" w:type="dxa"/>
        <w:jc w:val="left"/>
        <w:tblInd w:w="0" w:type="dxa"/>
        <w:tblLayout w:type="fixed"/>
        <w:tblCellMar>
          <w:top w:w="28" w:type="dxa"/>
          <w:left w:w="28" w:type="dxa"/>
          <w:bottom w:w="28" w:type="dxa"/>
          <w:right w:w="28" w:type="dxa"/>
        </w:tblCellMar>
      </w:tblPr>
      <w:tblGrid>
        <w:gridCol w:w="299"/>
        <w:gridCol w:w="263"/>
        <w:gridCol w:w="264"/>
        <w:gridCol w:w="480"/>
        <w:gridCol w:w="480"/>
        <w:gridCol w:w="482"/>
        <w:gridCol w:w="380"/>
        <w:gridCol w:w="380"/>
        <w:gridCol w:w="382"/>
        <w:gridCol w:w="1876"/>
        <w:gridCol w:w="1876"/>
        <w:gridCol w:w="1881"/>
        <w:gridCol w:w="338"/>
        <w:gridCol w:w="338"/>
        <w:gridCol w:w="48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Pricing</w:t>
              <w:br/>
              <w:t>Level</w:t>
            </w:r>
          </w:p>
        </w:tc>
        <w:tc>
          <w:tcPr>
            <w:tcW w:w="14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Debt Rating</w:t>
              <w:br/>
              <w:t>(S&amp;P/Moody’s)</w:t>
            </w:r>
          </w:p>
        </w:tc>
        <w:tc>
          <w:tcPr>
            <w:tcW w:w="11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Facility Fee</w:t>
            </w:r>
          </w:p>
        </w:tc>
        <w:tc>
          <w:tcPr>
            <w:tcW w:w="563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Benchmark Loans, Daily Simple SOFR Loans and Letter of Credit Fees</w:t>
            </w:r>
          </w:p>
        </w:tc>
        <w:tc>
          <w:tcPr>
            <w:tcW w:w="116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ABR Loans</w:t>
            </w:r>
          </w:p>
        </w:tc>
      </w:tr>
      <w:tr>
        <w:trPr/>
        <w:tc>
          <w:tcPr>
            <w:tcW w:w="8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14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4" w:before="0" w:after="0"/>
              <w:jc w:val="center"/>
              <w:rPr/>
            </w:pPr>
            <w:r>
              <w:rPr>
                <w:color w:val="000000"/>
              </w:rPr>
              <w:t xml:space="preserve">≥ </w:t>
            </w:r>
            <w:r>
              <w:rPr>
                <w:rFonts w:ascii="Times New Roman;sans-serif" w:hAnsi="Times New Roman;sans-serif"/>
                <w:b w:val="false"/>
                <w:color w:val="000000"/>
                <w:sz w:val="22"/>
              </w:rPr>
              <w:t>A / A2</w:t>
            </w:r>
          </w:p>
        </w:tc>
        <w:tc>
          <w:tcPr>
            <w:tcW w:w="11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0.100%</w:t>
            </w:r>
          </w:p>
        </w:tc>
        <w:tc>
          <w:tcPr>
            <w:tcW w:w="563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0.775%</w:t>
            </w:r>
          </w:p>
        </w:tc>
        <w:tc>
          <w:tcPr>
            <w:tcW w:w="116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0.000%</w:t>
            </w:r>
          </w:p>
        </w:tc>
      </w:tr>
      <w:tr>
        <w:trPr/>
        <w:tc>
          <w:tcPr>
            <w:tcW w:w="8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14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 / A3</w:t>
            </w:r>
          </w:p>
        </w:tc>
        <w:tc>
          <w:tcPr>
            <w:tcW w:w="11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0.125%</w:t>
            </w:r>
          </w:p>
        </w:tc>
        <w:tc>
          <w:tcPr>
            <w:tcW w:w="563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0.875%</w:t>
            </w:r>
          </w:p>
        </w:tc>
        <w:tc>
          <w:tcPr>
            <w:tcW w:w="116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0.000%</w:t>
            </w:r>
          </w:p>
        </w:tc>
      </w:tr>
      <w:tr>
        <w:trPr/>
        <w:tc>
          <w:tcPr>
            <w:tcW w:w="8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14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BBB+ / Baa1</w:t>
            </w:r>
          </w:p>
        </w:tc>
        <w:tc>
          <w:tcPr>
            <w:tcW w:w="11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0.150%</w:t>
            </w:r>
          </w:p>
        </w:tc>
        <w:tc>
          <w:tcPr>
            <w:tcW w:w="563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0.975%</w:t>
            </w:r>
          </w:p>
        </w:tc>
        <w:tc>
          <w:tcPr>
            <w:tcW w:w="116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0.000%</w:t>
            </w:r>
          </w:p>
        </w:tc>
      </w:tr>
      <w:tr>
        <w:trPr/>
        <w:tc>
          <w:tcPr>
            <w:tcW w:w="8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14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BBB / Baa2</w:t>
            </w:r>
          </w:p>
        </w:tc>
        <w:tc>
          <w:tcPr>
            <w:tcW w:w="11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0.200%</w:t>
            </w:r>
          </w:p>
        </w:tc>
        <w:tc>
          <w:tcPr>
            <w:tcW w:w="563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1.050%</w:t>
            </w:r>
          </w:p>
        </w:tc>
        <w:tc>
          <w:tcPr>
            <w:tcW w:w="116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0.050%</w:t>
            </w:r>
          </w:p>
        </w:tc>
      </w:tr>
      <w:tr>
        <w:trPr/>
        <w:tc>
          <w:tcPr>
            <w:tcW w:w="82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c>
        <w:tc>
          <w:tcPr>
            <w:tcW w:w="144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04" w:before="0" w:after="0"/>
              <w:jc w:val="center"/>
              <w:rPr/>
            </w:pPr>
            <w:r>
              <w:rPr>
                <w:color w:val="000000"/>
              </w:rPr>
              <w:t xml:space="preserve">≤ </w:t>
            </w:r>
            <w:r>
              <w:rPr>
                <w:rFonts w:ascii="Times New Roman;sans-serif" w:hAnsi="Times New Roman;sans-serif"/>
                <w:b w:val="false"/>
                <w:color w:val="000000"/>
                <w:sz w:val="22"/>
              </w:rPr>
              <w:t>BBB- / Baa3</w:t>
            </w:r>
          </w:p>
        </w:tc>
        <w:tc>
          <w:tcPr>
            <w:tcW w:w="114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0.250%</w:t>
            </w:r>
          </w:p>
        </w:tc>
        <w:tc>
          <w:tcPr>
            <w:tcW w:w="563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1.250%</w:t>
            </w:r>
          </w:p>
        </w:tc>
        <w:tc>
          <w:tcPr>
            <w:tcW w:w="1162"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0.250%</w:t>
            </w:r>
          </w:p>
        </w:tc>
      </w:tr>
    </w:tbl>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Initially, the Applicable Rate shall be determined based upon Pricing Level 3. Thereafter, each change in the Applicable Rate resulting from a publicly announced change in the Debt Rating shall be </w:t>
      </w:r>
    </w:p>
    <w:p>
      <w:pPr>
        <w:pStyle w:val="TextBody"/>
        <w:bidi w:val="0"/>
        <w:spacing w:before="0" w:after="24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effective, in the case of an upgrade,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r>
        <w:rPr>
          <w:color w:val="000000"/>
        </w:rPr>
        <w:t xml:space="preserve"> </w:t>
      </w:r>
      <w:r>
        <w:rPr>
          <w:rFonts w:ascii="Times New Roman;sans-serif" w:hAnsi="Times New Roman;sans-serif"/>
          <w:b w:val="false"/>
          <w:color w:val="000000"/>
          <w:sz w:val="22"/>
        </w:rPr>
        <w:t xml:space="preserve">The Applicable Rate shall be adjusted on an annual basis pursuant to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 xml:space="preserve">based upon the Sustainability Rate Adjustment and the Sustainability Facility Fee Adjustment;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no event shall any Applicable Rate be less than 0.00% per annum.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Reference Rate</w:t>
      </w:r>
      <w:r>
        <w:rPr>
          <w:color w:val="000000"/>
        </w:rPr>
        <w:t xml:space="preserve">” </w:t>
      </w:r>
      <w:r>
        <w:rPr>
          <w:rFonts w:ascii="Times New Roman;sans-serif" w:hAnsi="Times New Roman;sans-serif"/>
          <w:b w:val="false"/>
          <w:color w:val="000000"/>
          <w:sz w:val="22"/>
        </w:rPr>
        <w:t>means, for any Benchmark Loan denominated in Dollars, Term SOFR, for any Benchmark Loan denominated in Sterling, SONIA, for any Benchmark Loan denominated in Euros, EURIBOR, for any Benchmark Loan denominated in Swedish Kronor, STIBOR, for any Benchmark Loan denominated in Danish Kroner, CIBOR, for any Benchmark Loan denominated in Norwegian Kroner, NIBOR, for any Benchmark Loan denominated in Canadian Dollars, Term CORRA and for any Daily Simple SOFR Loan, Daily Simple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means any Fund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Arrangers</w:t>
      </w:r>
      <w:r>
        <w:rPr>
          <w:color w:val="000000"/>
        </w:rPr>
        <w:t xml:space="preserve">” </w:t>
      </w:r>
      <w:r>
        <w:rPr>
          <w:rFonts w:ascii="Times New Roman;sans-serif" w:hAnsi="Times New Roman;sans-serif"/>
          <w:b w:val="false"/>
          <w:color w:val="000000"/>
          <w:sz w:val="22"/>
        </w:rPr>
        <w:t>means BofA Securities, Inc., JPMorgan Chase Bank, N.A., Mizuho Bank, LTD., Nordea Bank ABP, New York Branch, Skandinaviska Enskilda Banken AB (publ) and Wells Fargo Securities LLC, each in its capacity as a joint lead arranger for the Facilities.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Asset Sale</w:t>
      </w:r>
      <w:r>
        <w:rPr>
          <w:color w:val="000000"/>
        </w:rPr>
        <w:t xml:space="preserve">” </w:t>
      </w:r>
      <w:r>
        <w:rPr>
          <w:rFonts w:ascii="Times New Roman;sans-serif" w:hAnsi="Times New Roman;sans-serif"/>
          <w:b w:val="false"/>
          <w:color w:val="000000"/>
          <w:sz w:val="22"/>
        </w:rPr>
        <w:t>has the meaning assigned to such term in Section 6.05.</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Assignment Tax</w:t>
      </w:r>
      <w:r>
        <w:rPr>
          <w:color w:val="000000"/>
        </w:rPr>
        <w:t xml:space="preserve">” </w:t>
      </w:r>
      <w:r>
        <w:rPr>
          <w:rFonts w:ascii="Times New Roman;sans-serif" w:hAnsi="Times New Roman;sans-serif"/>
          <w:b w:val="false"/>
          <w:color w:val="000000"/>
          <w:sz w:val="22"/>
        </w:rPr>
        <w:t>has the meaning specified in the definition of Other Taxes.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 xml:space="preserve">means an assignment and assumption entered into by a Lender and an assignee (with the consent of any party whose consent is required by Section 9.04), and accepted by the Administrative Agent, in the form of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or any other form (including electronic documentation generated by use of an electronic platform) approved by the Administrative Agent.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Auto-Renewal Letter of Credit</w:t>
      </w:r>
      <w:r>
        <w:rPr>
          <w:color w:val="000000"/>
        </w:rPr>
        <w:t xml:space="preserve">” </w:t>
      </w:r>
      <w:r>
        <w:rPr>
          <w:rFonts w:ascii="Times New Roman;sans-serif" w:hAnsi="Times New Roman;sans-serif"/>
          <w:b w:val="false"/>
          <w:color w:val="000000"/>
          <w:sz w:val="22"/>
        </w:rPr>
        <w:t>has the meaning set forth in Section 2.05(a)(vii).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Bank of America</w:t>
      </w:r>
      <w:r>
        <w:rPr>
          <w:color w:val="000000"/>
        </w:rPr>
        <w:t xml:space="preserve">” </w:t>
      </w:r>
      <w:r>
        <w:rPr>
          <w:rFonts w:ascii="Times New Roman;sans-serif" w:hAnsi="Times New Roman;sans-serif"/>
          <w:b w:val="false"/>
          <w:color w:val="000000"/>
          <w:sz w:val="22"/>
        </w:rPr>
        <w:t>has the meaning assigned to such term in the preamble to this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Base Rate</w:t>
      </w:r>
      <w:r>
        <w:rPr>
          <w:color w:val="000000"/>
        </w:rPr>
        <w:t xml:space="preserve">” </w:t>
      </w:r>
      <w:r>
        <w:rPr>
          <w:rFonts w:ascii="Times New Roman;sans-serif" w:hAnsi="Times New Roman;sans-serif"/>
          <w:b w:val="false"/>
          <w:color w:val="000000"/>
          <w:sz w:val="22"/>
        </w:rPr>
        <w:t xml:space="preserve">means, for any day, a fluctuating rate per annum equal to the highest of (a) the Federal Funds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1/2 of 1%, (b) Term SOFR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1%, (c) the rate of interest in effect for such day </w:t>
      </w:r>
    </w:p>
    <w:p>
      <w:pPr>
        <w:pStyle w:val="TextBody"/>
        <w:bidi w:val="0"/>
        <w:spacing w:before="0" w:after="24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 publicly announced from time to time by Bank of America as its “prime rate”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Benchmark</w:t>
      </w:r>
      <w:r>
        <w:rPr>
          <w:color w:val="000000"/>
        </w:rPr>
        <w:t xml:space="preserve">” </w:t>
      </w:r>
      <w:r>
        <w:rPr>
          <w:rFonts w:ascii="Times New Roman;sans-serif" w:hAnsi="Times New Roman;sans-serif"/>
          <w:b w:val="false"/>
          <w:color w:val="000000"/>
          <w:sz w:val="22"/>
        </w:rPr>
        <w:t>when used in reference to any Loan or Borrowing, refers to whether such Loan, or the Loans comprising such Borrowing, are bearing interest at a rate determined by reference to the Benchmark Rate.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Benchmark Rate</w:t>
      </w:r>
      <w:r>
        <w:rPr>
          <w:color w:val="000000"/>
        </w:rPr>
        <w:t xml:space="preserve">” </w:t>
      </w:r>
      <w:r>
        <w:rPr>
          <w:rFonts w:ascii="Times New Roman;sans-serif" w:hAnsi="Times New Roman;sans-serif"/>
          <w:b w:val="false"/>
          <w:color w:val="000000"/>
          <w:sz w:val="22"/>
        </w:rPr>
        <w:t>means: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for any Interest Period with respect to a Benchmark Loan denominated in Dollars, a rate per annum equal to Term SOFR;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with respect to a Benchmark Loan denominated Sterling, a rate per annum equal to SONIA, plus 0.0326%;</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    for any Interest Period with respect to a Benchmark Loan denominated in Euros, a rate per annum equal to the Euro Interbank Offered Rate (“</w:t>
      </w:r>
      <w:r>
        <w:rPr>
          <w:rFonts w:ascii="Times New Roman;sans-serif" w:hAnsi="Times New Roman;sans-serif"/>
          <w:b w:val="false"/>
          <w:color w:val="000000"/>
          <w:sz w:val="22"/>
          <w:u w:val="single"/>
        </w:rPr>
        <w:t>EURIBOR</w:t>
      </w:r>
      <w:r>
        <w:rPr>
          <w:color w:val="000000"/>
        </w:rPr>
        <w:t>”</w:t>
      </w:r>
      <w:r>
        <w:rPr>
          <w:rFonts w:ascii="Times New Roman;sans-serif" w:hAnsi="Times New Roman;sans-serif"/>
          <w:b w:val="false"/>
          <w:color w:val="000000"/>
          <w:sz w:val="22"/>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Brussels, Belgium time, on the Rate Determination Date, for deposits in the relevant currency (for delivery on the first day of such Interest Period) with a term equivalent to such Interest Period;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(d)    for any Interest Period with respect to a Benchmark Loan denominated in Swedish Kronor, a rate per annum equal to the Stockholm Interbank Offered Rate (“</w:t>
      </w:r>
      <w:r>
        <w:rPr>
          <w:rFonts w:ascii="Times New Roman;sans-serif" w:hAnsi="Times New Roman;sans-serif"/>
          <w:b w:val="false"/>
          <w:color w:val="000000"/>
          <w:sz w:val="22"/>
          <w:u w:val="single"/>
        </w:rPr>
        <w:t>STIBOR</w:t>
      </w:r>
      <w:r>
        <w:rPr>
          <w:color w:val="000000"/>
        </w:rPr>
        <w:t>”</w:t>
      </w:r>
      <w:r>
        <w:rPr>
          <w:rFonts w:ascii="Times New Roman;sans-serif" w:hAnsi="Times New Roman;sans-serif"/>
          <w:b w:val="false"/>
          <w:color w:val="000000"/>
          <w:sz w:val="22"/>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11:00 a.m. (Stockholm, Sweden time) on the Rate Determination Date with a term equivalent to such Interest Period;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(e)    for any Interest Period with respect to a Benchmark Loan denominated in Danish Kroner, a rate per annum equal to the Copenhagen Interbank Offered Rate (“</w:t>
      </w:r>
      <w:r>
        <w:rPr>
          <w:rFonts w:ascii="Times New Roman;sans-serif" w:hAnsi="Times New Roman;sans-serif"/>
          <w:b w:val="false"/>
          <w:color w:val="000000"/>
          <w:sz w:val="22"/>
          <w:u w:val="single"/>
        </w:rPr>
        <w:t>CIBOR</w:t>
      </w:r>
      <w:r>
        <w:rPr>
          <w:color w:val="000000"/>
        </w:rPr>
        <w:t>”</w:t>
      </w:r>
      <w:r>
        <w:rPr>
          <w:rFonts w:ascii="Times New Roman;sans-serif" w:hAnsi="Times New Roman;sans-serif"/>
          <w:b w:val="false"/>
          <w:color w:val="000000"/>
          <w:sz w:val="22"/>
        </w:rPr>
        <w:t>) or a comparable or successor rate, which rate is approved by the Administrative Agent as currently published on the applicable Bloomberg screen page (or such other commercially available source providing such quotations as may be designated by the Administrative Agent from time to time) at or about 11:00 a.m. (Copenhagen, Denmark time) on the Rate Determination Date with a term equivalent to such Interest Period;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(f)    for any Interest Period with respect to a Benchmark Loan denominated in Norwegian Kroner, a rate per annum equal to the Norwegian Interbank Offered Rate (“</w:t>
      </w:r>
      <w:r>
        <w:rPr>
          <w:rFonts w:ascii="Times New Roman;sans-serif" w:hAnsi="Times New Roman;sans-serif"/>
          <w:b w:val="false"/>
          <w:color w:val="000000"/>
          <w:sz w:val="22"/>
          <w:u w:val="single"/>
        </w:rPr>
        <w:t>NIBOR</w:t>
      </w:r>
      <w:r>
        <w:rPr>
          <w:color w:val="000000"/>
        </w:rPr>
        <w:t>”</w:t>
      </w:r>
      <w:r>
        <w:rPr>
          <w:rFonts w:ascii="Times New Roman;sans-serif" w:hAnsi="Times New Roman;sans-serif"/>
          <w:b w:val="false"/>
          <w:color w:val="000000"/>
          <w:sz w:val="22"/>
        </w:rPr>
        <w:t xml:space="preserve">) or a comparable or successor rate, which rate is approved by the Administrative Agent as published on the applicable Bloomberg screen page (or such other commercially available source providing such quotations as may be designated by the Administrative Agent from time to time) </w:t>
      </w:r>
    </w:p>
    <w:p>
      <w:pPr>
        <w:pStyle w:val="TextBody"/>
        <w:bidi w:val="0"/>
        <w:spacing w:before="0" w:after="24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 or about 12:00 p.m. (Oslo, Norway time) on the Rate Determination Date with a term equivalent to such Interest Period;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    for any interest calculation with respect to an ABR Loan on any date, a rate per annum equal to Term SOFR, at or about 11:00 a.m. New York City time determined two Business Days prior to such date for U.S. Dollar deposits with a term of one month commencing that day; and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(h)    for any interest calculation with respect to a Benchmark Loan denominated in Canadian Dollars, (i) the rate per annum equal to the forward-looking term rate based on CORRA as published on the applicable Reuters screen page (or such other commercially available source providing such quotations as may be designated by the Administrative Agent from time to time) on the day that is two (2) Business Days prior to the Rate Determination Date with a term equivalent to such Interest Period plus (ii) the Term CORRA Adjustment for such Interest Period (such rate, the “</w:t>
      </w:r>
      <w:r>
        <w:rPr>
          <w:rFonts w:ascii="Times New Roman;sans-serif" w:hAnsi="Times New Roman;sans-serif"/>
          <w:b w:val="false"/>
          <w:color w:val="000000"/>
          <w:sz w:val="22"/>
          <w:u w:val="single"/>
        </w:rPr>
        <w:t>Term CORRA</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jc w:val="left"/>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to the extent a comparable or successor rate is approved by the Administrative Agent in connection herewith, the approved rate shall be applied in a manner consistent with market practice;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to the extent such market practice is not administratively feasible for the Administrative Agent, such approved rate shall be applied in a manner as otherwise reasonably determined by the Administrative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if the Benchmark Rate shall be less than zero, such rate shall be deemed zero for purposes of this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 xml:space="preserve">means 31 C.F.R. §1010.230.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Board</w:t>
      </w:r>
      <w:r>
        <w:rPr>
          <w:color w:val="000000"/>
        </w:rPr>
        <w:t xml:space="preserve">” </w:t>
      </w:r>
      <w:r>
        <w:rPr>
          <w:rFonts w:ascii="Times New Roman;sans-serif" w:hAnsi="Times New Roman;sans-serif"/>
          <w:b w:val="false"/>
          <w:color w:val="000000"/>
          <w:sz w:val="22"/>
        </w:rPr>
        <w:t>means the Board of Governors of the Federal Reserve System of the United States of America.</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Board of Directors</w:t>
      </w:r>
      <w:r>
        <w:rPr>
          <w:color w:val="000000"/>
        </w:rPr>
        <w:t xml:space="preserve">” </w:t>
      </w:r>
      <w:r>
        <w:rPr>
          <w:rFonts w:ascii="Times New Roman;sans-serif" w:hAnsi="Times New Roman;sans-serif"/>
          <w:b w:val="false"/>
          <w:color w:val="000000"/>
          <w:sz w:val="22"/>
        </w:rPr>
        <w:t>means the board of directors of the Borrower or, other than for purposes of the definitions of Change in Control and Continuing Directors, any duly authorized committee thereof.</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 xml:space="preserve">has the meaning assigned to such term in the preamble to this Agreement.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Borrower Materials</w:t>
      </w:r>
      <w:r>
        <w:rPr>
          <w:color w:val="000000"/>
        </w:rPr>
        <w:t xml:space="preserve">” </w:t>
      </w:r>
      <w:r>
        <w:rPr>
          <w:rFonts w:ascii="Times New Roman;sans-serif" w:hAnsi="Times New Roman;sans-serif"/>
          <w:b w:val="false"/>
          <w:color w:val="000000"/>
          <w:sz w:val="22"/>
        </w:rPr>
        <w:t>has the meaning set forth in Section 5.01.</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Loans of the same Class and Type, made, converted or continued on the same date and, in the case of Benchmark Loans, as to which a single Interest Period is in effect.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Borrowing Request</w:t>
      </w:r>
      <w:r>
        <w:rPr>
          <w:color w:val="000000"/>
        </w:rPr>
        <w:t xml:space="preserve">” </w:t>
      </w:r>
      <w:r>
        <w:rPr>
          <w:rFonts w:ascii="Times New Roman;sans-serif" w:hAnsi="Times New Roman;sans-serif"/>
          <w:b w:val="false"/>
          <w:color w:val="000000"/>
          <w:sz w:val="22"/>
        </w:rPr>
        <w:t xml:space="preserve">means a request by the Borrower for a Borrowing in accordance with Section 2.03 which, if in writing, shall be in the form of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Broker-Dealer Subsidiary</w:t>
      </w:r>
      <w:r>
        <w:rPr>
          <w:color w:val="000000"/>
        </w:rPr>
        <w:t xml:space="preserve">” </w:t>
      </w:r>
      <w:r>
        <w:rPr>
          <w:rFonts w:ascii="Times New Roman;sans-serif" w:hAnsi="Times New Roman;sans-serif"/>
          <w:b w:val="false"/>
          <w:color w:val="000000"/>
          <w:sz w:val="22"/>
        </w:rPr>
        <w:t>means any Subsidiary that is registered as a broker-dealer pursuant to Section 15 of the Exchange Act (as in effect from time to time) or that is regulated as a broker-dealer or underwriter under any foreign securities law.</w:t>
      </w:r>
    </w:p>
    <w:p>
      <w:pPr>
        <w:pStyle w:val="TextBody"/>
        <w:bidi w:val="0"/>
        <w:spacing w:before="0" w:after="24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any day other than a Saturday, Sunday, or other day on which commercial banks are authorized to close under the laws, rules, regulations, ordinances, codes or administrative or judicial authorities of, or in fact are closed in, (a) New York City, (b) Stockholm, Sweden (solely with respect to notices of borrowing under Section 2.03) or (c) the state in the United States where the Administrative Agent’s Office with respect to Obligations denominated in Dollars is located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[reserved];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if such day relates to any interest rate settings as to a Benchmark Loan denominated in Euro, any fundings, disbursements, settlements and payments in Euro in respect of any such Benchmark Loan, or any other dealings in Euro to be carried out pursuant to this Agreement in respect of any such Benchmark Loan, means a TARGET Day;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if such day relates to any interest rate settings as to a Benchmark Loan denominated in a currency other than Dollars or Euro, means any such day on which dealings in deposits in the relevant currency are conducted by and between banks in the applicable offshore interbank market for such currency;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if such day relates to any fundings, disbursements, settlements and payments in a currency other than Dollars or Euro in respect of a Benchmark Loan denominated in a currency other than Dollars or Euro, or any other dealings in any currency other than Dollars or Euro to be carried out pursuant to this Agreement in respect of any such Benchmark Loan (other than any interest rate settings), means any such day on which banks are open for foreign exchange business in the principal financial center of the country of such currency.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Canadian Dollars</w:t>
      </w:r>
      <w:r>
        <w:rPr>
          <w:color w:val="000000"/>
        </w:rPr>
        <w:t xml:space="preserve">” </w:t>
      </w:r>
      <w:r>
        <w:rPr>
          <w:rFonts w:ascii="Times New Roman;sans-serif" w:hAnsi="Times New Roman;sans-serif"/>
          <w:b w:val="false"/>
          <w:color w:val="000000"/>
          <w:sz w:val="22"/>
        </w:rPr>
        <w:t>means the lawful currency of Canada.</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Capital Lease Obligations</w:t>
      </w:r>
      <w:r>
        <w:rPr>
          <w:color w:val="000000"/>
        </w:rPr>
        <w:t xml:space="preserve">” </w:t>
      </w:r>
      <w:r>
        <w:rPr>
          <w:rFonts w:ascii="Times New Roman;sans-serif" w:hAnsi="Times New Roman;sans-serif"/>
          <w:b w:val="false"/>
          <w:color w:val="000000"/>
          <w:sz w:val="22"/>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is understood that with respect to the accounting for leases as either operating leases or capital leases and the impact of such accounting on the definitions and covenants herein, GAAP as in effect on December 31, 2021 shall be applied.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Cash Collateral</w:t>
      </w:r>
      <w:r>
        <w:rPr>
          <w:color w:val="000000"/>
        </w:rPr>
        <w:t xml:space="preserve">” </w:t>
      </w:r>
      <w:r>
        <w:rPr>
          <w:rFonts w:ascii="Times New Roman;sans-serif" w:hAnsi="Times New Roman;sans-serif"/>
          <w:b w:val="false"/>
          <w:color w:val="000000"/>
          <w:sz w:val="22"/>
        </w:rPr>
        <w:t>has the meaning set forth in Section 2.05(e).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Cash Collateralize</w:t>
      </w:r>
      <w:r>
        <w:rPr>
          <w:color w:val="000000"/>
        </w:rPr>
        <w:t xml:space="preserve">” </w:t>
      </w:r>
      <w:r>
        <w:rPr>
          <w:rFonts w:ascii="Times New Roman;sans-serif" w:hAnsi="Times New Roman;sans-serif"/>
          <w:b w:val="false"/>
          <w:color w:val="000000"/>
          <w:sz w:val="22"/>
        </w:rPr>
        <w:t>has the meaning set forth in Section 2.05(e).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Cash Equivalents</w:t>
      </w:r>
      <w:r>
        <w:rPr>
          <w:color w:val="000000"/>
        </w:rPr>
        <w:t xml:space="preserve">” </w:t>
      </w:r>
      <w:r>
        <w:rPr>
          <w:rFonts w:ascii="Times New Roman;sans-serif" w:hAnsi="Times New Roman;sans-serif"/>
          <w:b w:val="false"/>
          <w:color w:val="000000"/>
          <w:sz w:val="22"/>
        </w:rPr>
        <w:t>means any of the following types of investments: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(a)    readily marketable obligations issued or directly and fully guaranteed or insured by the United States of America or any agency or instrumentality thereof having maturities of not more than 360 days from the date of acquisition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full faith and credit of the United States of America is pledged in support thereof;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time deposits with, or insured certificates of deposit or bankers’ acceptances of, any commercial bank that (i) (A) is a Lender or (B) is organized under the laws of the United States of America, any state thereof or the District of Columbia or is the principal banking </w:t>
      </w:r>
    </w:p>
    <w:p>
      <w:pPr>
        <w:pStyle w:val="TextBody"/>
        <w:bidi w:val="0"/>
        <w:spacing w:before="0" w:after="24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90 days from the date of acquisition thereof;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commercial paper issued by any Person organized under the laws of any state of the United States of America and rated, at the time of acquisition thereof, at least “Prime-1” (or the then equivalent grade) by Moody’s or at least “A-1” (or the then equivalent grade) by S&amp;P, in each case with maturities of not more than 180 days from the date of acquisition thereof;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investments, classified in accordance with GAAP as current assets of the Borrower or any of its Subsidiaries, in money market investment programs registered under the Investment Company Act of 1940, which are administered by financial institutions that, at the time of acquisition thereof, have the highest rating obtainable from either Moody’s or S&amp;P, and the portfolios of which are limited solely to investments of the character, quality and maturity described in clauses (a), (b) and (c) of this definition;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such other investments as may be agreed to from time to time between the Borrower and the Administrative Agent.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Change in Control</w:t>
      </w:r>
      <w:r>
        <w:rPr>
          <w:color w:val="000000"/>
        </w:rPr>
        <w:t xml:space="preserve">” </w:t>
      </w:r>
      <w:r>
        <w:rPr>
          <w:rFonts w:ascii="Times New Roman;sans-serif" w:hAnsi="Times New Roman;sans-serif"/>
          <w:b w:val="false"/>
          <w:color w:val="000000"/>
          <w:sz w:val="22"/>
        </w:rPr>
        <w:t>means: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any “person” or “group” (as such terms are used in Sections 13(d) and 14(d) of the Exchange Act) becomes the “beneficial owner” (as defined in Rules 13d−3 and 13d−5 under the Exchange Act), directly or indirectly, of Equity Interests in the Borrower representing either more than 35% of the aggregate ordinary voting power (it being understood that to the extent that Equity Interests in the Borrower held by any such person or group are disregarded for ordinary voting purposes pursuant to the terms of the Borrower’s Organizational Documents, such Equity Interests shall not be included for purposes of determining whether the threshold set forth in this subclause (a) has been met); or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occupation of a majority of the seats (other than vacant seats) on the Board of Directors of the Borrower by Persons who are not Continuing Directors; or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the occurrence of a “Change in Control” (or similar event, however denominated), as defined in any indenture or agreement in respect of Material Indebtedness of the Borrower or any Subsidiary.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(a) the adoption of any law, rule or regulation after the date of this Agreement, (b) any change in any law, rule or regulation or in the interpretation or application thereof by any Governmental Authority after the date of this Agreement or (c) compliance by any Lender or Issuing Bank (or, for purposes of Section 2.13(b), by any lending office of such Lender or by such Lender’s or Issuing Bank’s holding company, if any) with any request, guideline or directive (whether or not having the force of law) of any Governmental Authority made or issued after the date of this Agreement. It is understood and agreed that (x) the Dodd-Frank Wall Street Reform and Consumer Protection Act and all requests, rules, guidelines and directives thereunder or issued in connection therewith and (y) all requests, rules, guidelines or directives promulgated by the Bank for International Settlements, the Basel Committee on Banking Supervision (or any successor or similar authority) or the United States regulatory </w:t>
      </w:r>
    </w:p>
    <w:p>
      <w:pPr>
        <w:pStyle w:val="TextBody"/>
        <w:bidi w:val="0"/>
        <w:spacing w:before="0" w:after="24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authorities, in each case pursuant to Basel III, shall in each case be deemed to be a “Change in Law” regardless of the date enacted, adopted or issued.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Charges</w:t>
      </w:r>
      <w:r>
        <w:rPr>
          <w:color w:val="000000"/>
        </w:rPr>
        <w:t xml:space="preserve">” </w:t>
      </w:r>
      <w:r>
        <w:rPr>
          <w:rFonts w:ascii="Times New Roman;sans-serif" w:hAnsi="Times New Roman;sans-serif"/>
          <w:b w:val="false"/>
          <w:color w:val="000000"/>
          <w:sz w:val="22"/>
        </w:rPr>
        <w:t>has the meaning set forth in Section 9.13.</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CIBOR</w:t>
      </w:r>
      <w:r>
        <w:rPr>
          <w:color w:val="000000"/>
        </w:rPr>
        <w:t xml:space="preserve">” </w:t>
      </w:r>
      <w:r>
        <w:rPr>
          <w:rFonts w:ascii="Times New Roman;sans-serif" w:hAnsi="Times New Roman;sans-serif"/>
          <w:b w:val="false"/>
          <w:color w:val="000000"/>
          <w:sz w:val="22"/>
        </w:rPr>
        <w:t>has the meaning specified in the definition of Benchmark Rate.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Class</w:t>
      </w:r>
      <w:r>
        <w:rPr>
          <w:rFonts w:ascii="Times New Roman;sans-serif" w:hAnsi="Times New Roman;sans-serif"/>
          <w:b w:val="false"/>
          <w:color w:val="000000"/>
          <w:sz w:val="22"/>
        </w:rPr>
        <w:t>,” (a) when used in reference to any Loan or Borrowing, refers to whether such Loan, or the Loans comprising such Borrowing, are Revolving A Loans or Revolving B Loans, (b) when used in reference to any Commitment, refers to whether such Commitment is a Revolving A Commitment or Revolving B Commitment, and (c) when used in reference to any Lender, refers to whether such Lender has a Loan or Commitment with respect to a particular Class.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Clearing House</w:t>
      </w:r>
      <w:r>
        <w:rPr>
          <w:color w:val="000000"/>
        </w:rPr>
        <w:t xml:space="preserve">” </w:t>
      </w:r>
      <w:r>
        <w:rPr>
          <w:rFonts w:ascii="Times New Roman;sans-serif" w:hAnsi="Times New Roman;sans-serif"/>
          <w:b w:val="false"/>
          <w:color w:val="000000"/>
          <w:sz w:val="22"/>
        </w:rPr>
        <w:t>means each Subsidiary of the Borrower that reconciles, settles, adjusts and clears contracts on an exchange of the Borrower or any of its Subsidiaries or any other exchange in respect of which the Borrower or any of its Subsidiaries has equivalent authority, as the case may be, subject, as applicable, to the rules of any exchange which is qualified to clear trades through such Clearing House.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Clearing Member</w:t>
      </w:r>
      <w:r>
        <w:rPr>
          <w:color w:val="000000"/>
        </w:rPr>
        <w:t xml:space="preserve">” </w:t>
      </w:r>
      <w:r>
        <w:rPr>
          <w:rFonts w:ascii="Times New Roman;sans-serif" w:hAnsi="Times New Roman;sans-serif"/>
          <w:b w:val="false"/>
          <w:color w:val="000000"/>
          <w:sz w:val="22"/>
        </w:rPr>
        <w:t>means a firm qualified to clear trades through any Clearing House.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Clearing Operations</w:t>
      </w:r>
      <w:r>
        <w:rPr>
          <w:color w:val="000000"/>
        </w:rPr>
        <w:t xml:space="preserve">” </w:t>
      </w:r>
      <w:r>
        <w:rPr>
          <w:rFonts w:ascii="Times New Roman;sans-serif" w:hAnsi="Times New Roman;sans-serif"/>
          <w:b w:val="false"/>
          <w:color w:val="000000"/>
          <w:sz w:val="22"/>
        </w:rPr>
        <w:t>means the business relating to clearing, depository and settlement operations conducted by any Subsidiary.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means the first Business Day on which the conditions specified in Section 4.01 are satisfied (or waived in accordance with Section 9.02), which date is the date hereof.</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CME</w:t>
      </w:r>
      <w:r>
        <w:rPr>
          <w:color w:val="000000"/>
        </w:rPr>
        <w:t xml:space="preserve">” </w:t>
      </w:r>
      <w:r>
        <w:rPr>
          <w:rFonts w:ascii="Times New Roman;sans-serif" w:hAnsi="Times New Roman;sans-serif"/>
          <w:b w:val="false"/>
          <w:color w:val="000000"/>
          <w:sz w:val="22"/>
        </w:rPr>
        <w:t>means CME Group Benchmark Administration Limited.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 as amended from time to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means with respect to any Lender, such Lender’s Revolving Commitment.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Compliance Certificate</w:t>
      </w:r>
      <w:r>
        <w:rPr>
          <w:color w:val="000000"/>
        </w:rPr>
        <w:t xml:space="preserve">” </w:t>
      </w:r>
      <w:r>
        <w:rPr>
          <w:rFonts w:ascii="Times New Roman;sans-serif" w:hAnsi="Times New Roman;sans-serif"/>
          <w:b w:val="false"/>
          <w:color w:val="000000"/>
          <w:sz w:val="22"/>
        </w:rPr>
        <w:t>has the meaning set forth in Section 5.01(c).</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Conforming Changes</w:t>
      </w:r>
      <w:r>
        <w:rPr>
          <w:color w:val="000000"/>
        </w:rPr>
        <w:t xml:space="preserve">” </w:t>
      </w:r>
      <w:r>
        <w:rPr>
          <w:rFonts w:ascii="Times New Roman;sans-serif" w:hAnsi="Times New Roman;sans-serif"/>
          <w:b w:val="false"/>
          <w:color w:val="000000"/>
          <w:sz w:val="22"/>
        </w:rPr>
        <w:t xml:space="preserve">means, with respect to the use, administration of or any conventions associated with a Benchmark Rate, Daily Simple SOFR, or any proposed Successor Rate for Dollars or an Alternative Currency, as applicable, any conforming changes to the definitions of “Base Rate”, “Benchmark Rate”, “Daily Simple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applicability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for such Alternative Currency or Dollars (or, if the Administrative Agent (in consultation with the Borrower) determines that adoption of any portion of such market practice is not administratively feasible or that no market practice for the administration of such rate for such Alternative Currency or Dollars exists, in such other manner of administration as the </w:t>
      </w:r>
    </w:p>
    <w:p>
      <w:pPr>
        <w:pStyle w:val="TextBody"/>
        <w:bidi w:val="0"/>
        <w:spacing w:before="0" w:after="24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 (in consultation with the Borrower) determines is reasonably necessary in connection with the administration of this Agreement and any other Loan Document).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Consolidated EBITDA</w:t>
      </w:r>
      <w:r>
        <w:rPr>
          <w:color w:val="000000"/>
        </w:rPr>
        <w:t xml:space="preserve">” </w:t>
      </w:r>
      <w:r>
        <w:rPr>
          <w:rFonts w:ascii="Times New Roman;sans-serif" w:hAnsi="Times New Roman;sans-serif"/>
          <w:b w:val="false"/>
          <w:color w:val="000000"/>
          <w:sz w:val="22"/>
        </w:rPr>
        <w:t>means, for any period, Consolidated Net Income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for such period, (v) non-recurring, infrequent or unusual charges incurred during such period, including, without limitation, with respect to restructurings, headcount reductions or other similar actions, including severance charges in respect of employee terminations, costs, expenses or amounts paid in connection with litigation, investigations, fines, settlements and judgments, in an aggregate amount pursuant to this clause (v) not to exceed the greater of (1) $300,000,000 and (2) fifteen percent (15.0%) of Consolidated EBITDA for such period (calculated without giving effect to this clause (v) (provided that the amounts added pursuant to this clause (v) and clause (ix) below shall not, together, exceed twenty (20.0%) of Consolidated EBITDA for such period)), (vi) non-cash expenses resulting from the grant of stock options, restricted stock units, performance stock units or other equity-related incentives or benefits to any director, officer or employee of the Borrower or any Subsidiary pursuant to a written plan or agreement approved by the Board of Directors of the Borrower, (vii) non-cash charges attributable to impairment of goodwill or other intangible assets or impairment of long-lived assets, (viii) the aggregate amount of all deferred financing fees and expenses incurred during such period in connection with the Transactions, all non-recurring fees and expenses (excluding interest charges) paid during such period in connection with the Transactions (including, without limitation, fees and expenses incurred in connection with the issuance or extinguishment of debt incurred in connection with the Transactions) and related fees and expenses paid to advisors (but excluding integration and restructuring charges incurred or paid in connection with the Transactions), (ix) integration and restructuring expenses and charges incurred during such period in connection with Acquisitions in an aggregate amount not to exceed the greater of (1) $300,000,000 and (2) fifteen percent (15.0%) of Consolidated EBITDA for such period (calculated without giving effect to this clause (ix) (provided that the amounts added pursuant to this clause (ix) and clause (v) above shall not, together, exceed twenty (20.0%) of Consolidated EBITDA for such period)), set forth in reasonable detail and certified by a Financial Officer of the Borrower, (x) any costs, fees and expenses incurred in connection with any actual or proposed Acquisition, merger, joint venture, issuance of Equity Interests or Equity Equivalents, issuance or prepayments of Indebtedness, disposition or investment not prohibited hereby, in each case whether or not consummated, and (xi) expenses and charges incurred during such period in connection with natural disasters, catastrophes and other force majeure events, and minus (b) without duplication and to the extent included in determining such Consolidated Net Income, the sum of (i) any cash disbursements during such period that relate to non-cash charges or losses added to Consolidated Net Income pursuant to clause (a)(iv) or (a)(vi) of this definition in any prior period, (ii) any non-recurring gains for such period resulting from natural disasters, catastrophes and other force majeure events (including as a result of the receipt of casualty insurance proceeds), (iii) any non-cash gains for such period, (iv) any income relating to defined benefits pension or post-retirement benefit plans and (v) all gains during such period resulting from the sale or disposition of any asset of the Borrower or any Subsidiary outside the ordinary course of business, all determined on a consolidated basis in accordance with GAAP.</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Consolidated Net Income</w:t>
      </w:r>
      <w:r>
        <w:rPr>
          <w:color w:val="000000"/>
        </w:rPr>
        <w:t xml:space="preserve">” </w:t>
      </w:r>
      <w:r>
        <w:rPr>
          <w:rFonts w:ascii="Times New Roman;sans-serif" w:hAnsi="Times New Roman;sans-serif"/>
          <w:b w:val="false"/>
          <w:color w:val="000000"/>
          <w:sz w:val="22"/>
        </w:rPr>
        <w:t xml:space="preserve">means, for any period, the net income (or loss) of the Borrower and the Subsidiaries for such period determined on a consolidated basis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there shall be excluded (a) the net income (or loss) of any Subsidiary of the Borrower to the extent that the declaration or payment of dividends or similar distributions by such Subsidiary of such net </w:t>
      </w:r>
    </w:p>
    <w:p>
      <w:pPr>
        <w:pStyle w:val="TextBody"/>
        <w:bidi w:val="0"/>
        <w:spacing w:before="0" w:after="24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income is not at the time permitted by operation of the terms of its Organizational Documents or any agreement or instrument (other than a Loan Document) or any Requirement of Law applicable to such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there shall not be excluded from Consolidated Net Income such part of net income that is used or designated as being available to satisfy regulatory capital or liquidity requirements imposed on any Subsidiary of the Borrower by any Governmental Authority or pursuant to any Requirement of Law), and (b) the net income (or loss) of any other Person that is not a Subsidiary of the Borrower (or is accounted for by the Borrower by the equity method of accounting), except to the extent of the amount of cash dividends or other cash distributions actually paid to the Borrower or any Subsidiary (except to the extent the income (or loss) of such Subsidiary would be excluded from Consolidated Net Income pursuant to clause (a) of this proviso) during such period.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Continuing Director</w:t>
      </w:r>
      <w:r>
        <w:rPr>
          <w:color w:val="000000"/>
        </w:rPr>
        <w:t xml:space="preserve">” </w:t>
      </w:r>
      <w:r>
        <w:rPr>
          <w:rFonts w:ascii="Times New Roman;sans-serif" w:hAnsi="Times New Roman;sans-serif"/>
          <w:b w:val="false"/>
          <w:color w:val="000000"/>
          <w:sz w:val="22"/>
        </w:rPr>
        <w:t>means (a) any member of the Board of Directors of the Borrower who was a member of the Board of Directors of the Borrower on the date of this Agreement and (b) any individual who becomes a member of the Board of Directors of the Borrower after the date of this Agreement if such individual was appointed, elected, nominated or approved for election to the Board of Directors of the Borrower with the affirmative vote of at least a majority of the directors then still in office.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means the possession, directly or indirectly, of the power to direct or cause the direction of the management or policies, whether through the ability to exercise voting power, by contract or otherwise. “</w:t>
      </w:r>
      <w:r>
        <w:rPr>
          <w:rFonts w:ascii="Times New Roman;sans-serif" w:hAnsi="Times New Roman;sans-serif"/>
          <w:b w:val="false"/>
          <w:color w:val="000000"/>
          <w:sz w:val="22"/>
          <w:u w:val="single"/>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Controlled</w:t>
      </w:r>
      <w:r>
        <w:rPr>
          <w:color w:val="000000"/>
        </w:rPr>
        <w:t xml:space="preserve">” </w:t>
      </w:r>
      <w:r>
        <w:rPr>
          <w:rFonts w:ascii="Times New Roman;sans-serif" w:hAnsi="Times New Roman;sans-serif"/>
          <w:b w:val="false"/>
          <w:color w:val="000000"/>
          <w:sz w:val="22"/>
        </w:rPr>
        <w:t>have meanings correlative thereto.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CORRA</w:t>
      </w:r>
      <w:r>
        <w:rPr>
          <w:color w:val="000000"/>
        </w:rPr>
        <w:t xml:space="preserve">” </w:t>
      </w:r>
      <w:r>
        <w:rPr>
          <w:rFonts w:ascii="Times New Roman;sans-serif" w:hAnsi="Times New Roman;sans-serif"/>
          <w:b w:val="false"/>
          <w:color w:val="000000"/>
          <w:sz w:val="22"/>
        </w:rPr>
        <w:t>means the Canadian Overnight Repo Rate Average administered and published by the Bank of Canada (or any successor administrator).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Daily Simple SOFR</w:t>
      </w:r>
      <w:r>
        <w:rPr>
          <w:color w:val="000000"/>
        </w:rPr>
        <w:t xml:space="preserve">” </w:t>
      </w:r>
      <w:r>
        <w:rPr>
          <w:rFonts w:ascii="Times New Roman;sans-serif" w:hAnsi="Times New Roman;sans-serif"/>
          <w:b w:val="false"/>
          <w:color w:val="000000"/>
          <w:sz w:val="22"/>
        </w:rPr>
        <w:t xml:space="preserve">means, for any day, the rate per annum equal to SOFR published on the U.S. Government Securities Business Day preceding such date plus the SOFR Adjustment. Any change in Daily Simple SOFR shall be effective from and including the date of such change without further notice. If the rate as so determined would be less than 0.10%, such rate shall be deemed to be 0.10% for purposes of this Agreement. When used in reference to any Loan or Borrowing, refers to whether such Loan, or the Loans comprising such Borrowing, are bearing interest at a rate determined by reference to the Daily Simple SOFR.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Danish Kroner</w:t>
      </w:r>
      <w:r>
        <w:rPr>
          <w:color w:val="000000"/>
        </w:rPr>
        <w:t xml:space="preserve">” </w:t>
      </w:r>
      <w:r>
        <w:rPr>
          <w:rFonts w:ascii="Times New Roman;sans-serif" w:hAnsi="Times New Roman;sans-serif"/>
          <w:b w:val="false"/>
          <w:color w:val="000000"/>
          <w:sz w:val="22"/>
        </w:rPr>
        <w:t>means the lawful currency of Denmark.</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Debt Rating</w:t>
      </w:r>
      <w:r>
        <w:rPr>
          <w:color w:val="000000"/>
        </w:rPr>
        <w:t xml:space="preserve">” </w:t>
      </w:r>
      <w:r>
        <w:rPr>
          <w:rFonts w:ascii="Times New Roman;sans-serif" w:hAnsi="Times New Roman;sans-serif"/>
          <w:b w:val="false"/>
          <w:color w:val="000000"/>
          <w:sz w:val="22"/>
        </w:rPr>
        <w:t>means, as of any date of determination, the rating as determined by either S&amp;P or Moody’s (collectively, the “</w:t>
      </w:r>
      <w:r>
        <w:rPr>
          <w:rFonts w:ascii="Times New Roman;sans-serif" w:hAnsi="Times New Roman;sans-serif"/>
          <w:b w:val="false"/>
          <w:color w:val="000000"/>
          <w:sz w:val="22"/>
          <w:u w:val="single"/>
        </w:rPr>
        <w:t>Debt Ratings</w:t>
      </w:r>
      <w:r>
        <w:rPr>
          <w:color w:val="000000"/>
        </w:rPr>
        <w:t>”</w:t>
      </w:r>
      <w:r>
        <w:rPr>
          <w:rFonts w:ascii="Times New Roman;sans-serif" w:hAnsi="Times New Roman;sans-serif"/>
          <w:b w:val="false"/>
          <w:color w:val="000000"/>
          <w:sz w:val="22"/>
        </w:rPr>
        <w:t xml:space="preserve">) of the Borrower’s non-credit-enhanced, senior unsecured long-term debt;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if the respective Debt Ratings issued by the foregoing rating agencies differ by one level, then the Pricing Level for the higher of such Debt Ratings shall apply (with the Debt Rating for Pricing Level 1 being the highest and the Debt Rating for Pricing Level 5 being the lowest); (b) if there is a split in Debt Ratings of more than one level, then the Pricing Level of the Debt Rating that is one level lower than the Pricing Level of the higher Debt Rating shall apply; (c) if the Borrower has only one Debt Rating, the Pricing Level of such Debt Rating shall apply; and (d) if the Borrower does not have any Debt Rating, Pricing Level 5 shall apply.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Debtor Relief Laws”</w:t>
      </w:r>
      <w:r>
        <w:rPr>
          <w:color w:val="000000"/>
        </w:rPr>
        <w:t xml:space="preserve"> </w:t>
      </w:r>
      <w:r>
        <w:rPr>
          <w:rFonts w:ascii="Times New Roman;sans-serif" w:hAnsi="Times New Roman;sans-serif"/>
          <w:b w:val="false"/>
          <w:color w:val="000000"/>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24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any event or condition that constitutes an Event of Default or that upon notice, lapse of time or both would, unless cured or waived, become an Event of Default.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means, subject to Section 2.19(b),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Issuing Bank or any other Lender any other amount required to be paid by it hereunder (including in respect of its participation in Letters of Credit) within two Business Days of the date when due, (b) has notified the Borrower, the Administrative Agent or any Issuing Bank in writing that it does not intend to comply with its funding obligations hereunder, or has made a public statement to that effect with respect to its funding obligations hereunder, or generally under other agreements in which it commits to extend credit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or has been taken over by the Federal Deposit Insurance Corporation or any other state or federal regulatory authority, or (iii) become the subject of a Bail-In Action;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Section 2.19(b)) as of the date established therefor by the Administrative Agent in a written notice of such determination, which shall be delivered by the Administrative Agent to the Borrower, each Issuing Bank and each other Lender promptly following such determination.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Designated Jurisdiction</w:t>
      </w:r>
      <w:r>
        <w:rPr>
          <w:color w:val="000000"/>
        </w:rPr>
        <w:t xml:space="preserve">” </w:t>
      </w:r>
      <w:r>
        <w:rPr>
          <w:rFonts w:ascii="Times New Roman;sans-serif" w:hAnsi="Times New Roman;sans-serif"/>
          <w:b w:val="false"/>
          <w:color w:val="000000"/>
          <w:sz w:val="22"/>
        </w:rPr>
        <w:t>means any country or territory to the extent that such country or territory itself is the subject of comprehensive Sanctions.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Disclosed Matters</w:t>
      </w:r>
      <w:r>
        <w:rPr>
          <w:color w:val="000000"/>
        </w:rPr>
        <w:t xml:space="preserve">” </w:t>
      </w:r>
      <w:r>
        <w:rPr>
          <w:rFonts w:ascii="Times New Roman;sans-serif" w:hAnsi="Times New Roman;sans-serif"/>
          <w:b w:val="false"/>
          <w:color w:val="000000"/>
          <w:sz w:val="22"/>
        </w:rPr>
        <w:t xml:space="preserve">means the actions, suits and proceedings and the environmental matters disclosed in </w:t>
      </w:r>
      <w:r>
        <w:rPr>
          <w:rFonts w:ascii="Times New Roman;sans-serif" w:hAnsi="Times New Roman;sans-serif"/>
          <w:b w:val="false"/>
          <w:color w:val="000000"/>
          <w:sz w:val="22"/>
          <w:u w:val="single"/>
        </w:rPr>
        <w:t>Schedule 3.06</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Disqualified Equity Interests</w:t>
      </w:r>
      <w:r>
        <w:rPr>
          <w:color w:val="000000"/>
        </w:rPr>
        <w:t xml:space="preserve">” </w:t>
      </w:r>
      <w:r>
        <w:rPr>
          <w:rFonts w:ascii="Times New Roman;sans-serif" w:hAnsi="Times New Roman;sans-serif"/>
          <w:b w:val="false"/>
          <w:color w:val="000000"/>
          <w:sz w:val="22"/>
        </w:rPr>
        <w:t xml:space="preserve">means Equity Interests that (a) mature or are mandatorily redeemable or subject to mandatory repurchase or redemption or repurchase at the option of the holders thereof (other than solely for Equity Interests that do not constitute Disqualified Equity Interests), in whole or in part and whether upon the occurrence of any event, pursuant to a sinking fund obligation, on a </w:t>
      </w:r>
    </w:p>
    <w:p>
      <w:pPr>
        <w:pStyle w:val="TextBody"/>
        <w:bidi w:val="0"/>
        <w:spacing w:before="0" w:after="24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fixed date or otherwise, prior to the date that is 91 days after the Maturity Date (other than upon payment in full of the Obligations, reduction of the LC Exposure to zero and termination of the Commitments or upon a “change in control”;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payment required pursuant to a “change in control” is contractually subordinated in right of payment to the Obligations on terms reasonably satisfactory to the Administrative Agent and such requirement is not applicable in more circumstances than pursuant to the change of control provisions in the Senior Notes Indentures as of the date hereof), or (b) are convertible or exchangeable, automatically or at the option of any holder thereof, into any Indebtedness, Equity Interests or other assets other than Qualified Equity Interests.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Diverse-Owned Suppliers</w:t>
      </w:r>
      <w:r>
        <w:rPr>
          <w:color w:val="000000"/>
        </w:rPr>
        <w:t xml:space="preserve">” </w:t>
      </w:r>
      <w:r>
        <w:rPr>
          <w:rFonts w:ascii="Times New Roman;sans-serif" w:hAnsi="Times New Roman;sans-serif"/>
          <w:b w:val="false"/>
          <w:color w:val="000000"/>
          <w:sz w:val="22"/>
        </w:rPr>
        <w:t>means business that are certified to the Borrower as 51% or more directly or indirectly owned and operated by Ethnic Minorities, women, members of the LGBTQ+ community, veterans, disabled or disadvantaged individuals or located in a HUBZone.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Documentation Agents</w:t>
      </w:r>
      <w:r>
        <w:rPr>
          <w:color w:val="000000"/>
        </w:rPr>
        <w:t xml:space="preserve">” </w:t>
      </w:r>
      <w:r>
        <w:rPr>
          <w:rFonts w:ascii="Times New Roman;sans-serif" w:hAnsi="Times New Roman;sans-serif"/>
          <w:b w:val="false"/>
          <w:color w:val="000000"/>
          <w:sz w:val="22"/>
        </w:rPr>
        <w:t>means Citibank, N.A., Goldman Sachs Bank USA, HSBC Bank USA, N.A., Industrial and Commercial Bank of China Limited, New York Branch, Morgan Stanley Senior Funding, Inc. and Svenska Handelsbanken AB (publ), New York Branch, each in its capacity as a documentation agent for the Facilities.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Dollar Equivalent</w:t>
      </w:r>
      <w:r>
        <w:rPr>
          <w:color w:val="000000"/>
        </w:rPr>
        <w:t xml:space="preserve">” </w:t>
      </w:r>
      <w:r>
        <w:rPr>
          <w:rFonts w:ascii="Times New Roman;sans-serif" w:hAnsi="Times New Roman;sans-serif"/>
          <w:b w:val="false"/>
          <w:color w:val="000000"/>
          <w:sz w:val="22"/>
        </w:rPr>
        <w:t>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Dollars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refers to lawful money of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EMU Legislation</w:t>
      </w:r>
      <w:r>
        <w:rPr>
          <w:color w:val="000000"/>
        </w:rPr>
        <w:t xml:space="preserve">” </w:t>
      </w:r>
      <w:r>
        <w:rPr>
          <w:rFonts w:ascii="Times New Roman;sans-serif" w:hAnsi="Times New Roman;sans-serif"/>
          <w:b w:val="false"/>
          <w:color w:val="000000"/>
          <w:sz w:val="22"/>
        </w:rPr>
        <w:t>means the legislative measures of the European Council for the introduction of, changeover to or operation of a single or unified European currency.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means all treaties, laws, rules, regulations, codes, ordinances, orders, decrees, judgments, injunctions, notices or binding agreements issued, promulgated or entered into by or with any Governmental Authority, relating in any way to the environment, the preservation or reclamation of natural resources, or the generation, management, Release or threatened Release of any Hazardous Material.</w:t>
      </w:r>
    </w:p>
    <w:p>
      <w:pPr>
        <w:pStyle w:val="TextBody"/>
        <w:bidi w:val="0"/>
        <w:spacing w:before="0" w:after="24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Environmental Liability</w:t>
      </w:r>
      <w:r>
        <w:rPr>
          <w:color w:val="000000"/>
        </w:rPr>
        <w:t xml:space="preserve">” </w:t>
      </w:r>
      <w:r>
        <w:rPr>
          <w:rFonts w:ascii="Times New Roman;sans-serif" w:hAnsi="Times New Roman;sans-serif"/>
          <w:b w:val="false"/>
          <w:color w:val="000000"/>
          <w:sz w:val="22"/>
        </w:rPr>
        <w:t>means any liability, contingent or otherwise (including any liability for damages, costs of medical monitoring, costs of environmental remediation or restoration, administrative oversight costs, consultants’ fees, fines, penalties or indemnities), of the Borrower or any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Equity Equivalents</w:t>
      </w:r>
      <w:r>
        <w:rPr>
          <w:color w:val="000000"/>
        </w:rPr>
        <w:t xml:space="preserve">” </w:t>
      </w:r>
      <w:r>
        <w:rPr>
          <w:rFonts w:ascii="Times New Roman;sans-serif" w:hAnsi="Times New Roman;sans-serif"/>
          <w:b w:val="false"/>
          <w:color w:val="000000"/>
          <w:sz w:val="22"/>
        </w:rPr>
        <w:t>means all securities convertible into or exchangeable for Equity Interests, and all warrants, options or other rights to purchase or subscribe for any Equity Interests, whether or not presently convertible, exchangeable or exercisable.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Equity Interests</w:t>
      </w:r>
      <w:r>
        <w:rPr>
          <w:color w:val="000000"/>
        </w:rPr>
        <w:t xml:space="preserve">” </w:t>
      </w:r>
      <w:r>
        <w:rPr>
          <w:rFonts w:ascii="Times New Roman;sans-serif" w:hAnsi="Times New Roman;sans-serif"/>
          <w:b w:val="false"/>
          <w:color w:val="000000"/>
          <w:sz w:val="22"/>
        </w:rPr>
        <w:t>means shares, shares of capital stock, partnership interests, membership interests in a limited liability company, beneficial interests in a trust or other equity ownership interests in a Person.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as amended from time to time, and the regulations promulgated and the rulings issued thereunder.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414(m) or (o) of the Code.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ERISA Event</w:t>
      </w:r>
      <w:r>
        <w:rPr>
          <w:color w:val="000000"/>
        </w:rPr>
        <w:t xml:space="preserve">” </w:t>
      </w:r>
      <w:r>
        <w:rPr>
          <w:rFonts w:ascii="Times New Roman;sans-serif" w:hAnsi="Times New Roman;sans-serif"/>
          <w:b w:val="false"/>
          <w:color w:val="000000"/>
          <w:sz w:val="22"/>
        </w:rPr>
        <w:t>means (a) any “reportable event,” as defined in Section 4043 of ERISA or the regulations issued thereunder, with respect to a Plan (other than an event for which the 30-day notice period is waived), (b) with respect to any Plan, a failure to satisfy the minimum funding standard under Section 412 of the Code and Section 302 of ERISA, whether or not waived, (c) the filing pursuant to Section 412(d) of the Code or Section 303(d) of ERISA of an application for a waiver of the minimum funding standard with respect to any Plan, (d) a determination that any Plan is, or is expected to be, in “at risk” status (as defined in Section 430(i)(4) of the Code or Section 303(i)(4) of ERISA), (e) the incurrence by the Borrower or any of its ERISA Affiliates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of its ERISA Affiliates of any liability with respect to the withdrawal or partial withdrawal from any Plan or Multiemployer Plan,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or (i) the withdrawal of the Borrower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Ethnic Minorities</w:t>
      </w:r>
      <w:r>
        <w:rPr>
          <w:color w:val="000000"/>
        </w:rPr>
        <w:t xml:space="preserve">” </w:t>
      </w:r>
      <w:r>
        <w:rPr>
          <w:rFonts w:ascii="Times New Roman;sans-serif" w:hAnsi="Times New Roman;sans-serif"/>
          <w:b w:val="false"/>
          <w:color w:val="000000"/>
          <w:sz w:val="22"/>
        </w:rPr>
        <w:t>means from one or more of the following ethnic groups: Asian-Indian, Asian-Pacific, Black, Hispanic/Latin American and Native American.</w:t>
      </w:r>
    </w:p>
    <w:p>
      <w:pPr>
        <w:pStyle w:val="TextBody"/>
        <w:bidi w:val="0"/>
        <w:spacing w:before="0" w:after="24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EURIBOR</w:t>
      </w:r>
      <w:r>
        <w:rPr>
          <w:color w:val="000000"/>
        </w:rPr>
        <w:t xml:space="preserve">” </w:t>
      </w:r>
      <w:r>
        <w:rPr>
          <w:rFonts w:ascii="Times New Roman;sans-serif" w:hAnsi="Times New Roman;sans-serif"/>
          <w:b w:val="false"/>
          <w:color w:val="000000"/>
          <w:sz w:val="22"/>
        </w:rPr>
        <w:t>has the meaning specified in the definition of Benchmark Rate.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Euro</w:t>
      </w:r>
      <w:r>
        <w:rPr>
          <w:color w:val="000000"/>
        </w:rPr>
        <w:t xml:space="preserve">” </w:t>
      </w:r>
      <w:r>
        <w:rPr>
          <w:rFonts w:ascii="Times New Roman;sans-serif" w:hAnsi="Times New Roman;sans-serif"/>
          <w:b w:val="false"/>
          <w:color w:val="000000"/>
          <w:sz w:val="22"/>
        </w:rPr>
        <w:t>means the lawful currency of the Participating Member States introduced in accordance with the EMU Legislation.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has the meaning assigned to such term in Article VII.</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Exchange Act</w:t>
      </w:r>
      <w:r>
        <w:rPr>
          <w:color w:val="000000"/>
        </w:rPr>
        <w:t xml:space="preserve">” </w:t>
      </w:r>
      <w:r>
        <w:rPr>
          <w:rFonts w:ascii="Times New Roman;sans-serif" w:hAnsi="Times New Roman;sans-serif"/>
          <w:b w:val="false"/>
          <w:color w:val="000000"/>
          <w:sz w:val="22"/>
        </w:rPr>
        <w:t>means the Securities Exchange Act of 1934, as amended.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means, with respect to the Administrative Agent, any Lender, Issuing Bank or any other recipient of any payment to be made by or on account of any obligation of the Borrower hereunder, (a) any Taxes imposed on or measured by its net income or overall gross income, capital, net worth or similar Taxes imposed on it in lieu of or as an adjunct to net or overall gross income taxes (including, for the avoidance of doubt, the Massachusetts corporate excise tax within the meaning of Massachusetts General Laws Ch. 63, Section 39), or franchise Taxes imposed, in each case, by a jurisdiction as a result of such recipient being organized or resident in, maintaining a lending office in, doing business in or having another present or former connection with, such jurisdiction (other than any business or connection arising (or deemed to arise) from such recipient having executed, delivered, become a party to, performed its obligations under, received payments under, received or perfected a security interest under, engaged in any other transactions pursuant to, or enforced, any Loan Documents), (b) any branch profits Taxes under Section 884(a) of the Code, or any similar Taxes, imposed by any jurisdiction described in clause (a) above, (c) in the case of a Lender (other than an assignee pursuant to a request by the Borrower under Section 2.17(b)), any U.S. federal withholding Tax that (i) is imposed pursuant to any Requirement of Laws in effect at the time such Lender becomes a party to this Agreement (or designates a new lending office), except to the extent that such Lender (or its assignor, if any) was entitled, immediately prior to the designation of a new lending office (or assignment), to receive additional amounts from the Borrower with respect to such withholding Tax pursuant to Section 2.15(a), or (ii) is attributable to such Lender’s failure to comply with Section 2.15(e) and (d) any U.S. federal withholding Taxes imposed pursuant to FATCA.</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has the meaning specified in the preamble hereto.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Existing Letters of Credit</w:t>
      </w:r>
      <w:r>
        <w:rPr>
          <w:color w:val="000000"/>
        </w:rPr>
        <w:t xml:space="preserve">” </w:t>
      </w:r>
      <w:r>
        <w:rPr>
          <w:rFonts w:ascii="Times New Roman;sans-serif" w:hAnsi="Times New Roman;sans-serif"/>
          <w:b w:val="false"/>
          <w:color w:val="000000"/>
          <w:sz w:val="22"/>
        </w:rPr>
        <w:t xml:space="preserve">means each Letter of Credit which would be outstanding under the Existing Credit Agreement on the Closing Date and listed on </w:t>
      </w:r>
      <w:r>
        <w:rPr>
          <w:rFonts w:ascii="Times New Roman;sans-serif" w:hAnsi="Times New Roman;sans-serif"/>
          <w:b w:val="false"/>
          <w:color w:val="000000"/>
          <w:sz w:val="22"/>
          <w:u w:val="single"/>
        </w:rPr>
        <w:t>Schedule 2.05</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Facilities</w:t>
      </w:r>
      <w:r>
        <w:rPr>
          <w:color w:val="000000"/>
        </w:rPr>
        <w:t xml:space="preserve">” </w:t>
      </w:r>
      <w:r>
        <w:rPr>
          <w:rFonts w:ascii="Times New Roman;sans-serif" w:hAnsi="Times New Roman;sans-serif"/>
          <w:b w:val="false"/>
          <w:color w:val="000000"/>
          <w:sz w:val="22"/>
        </w:rPr>
        <w:t>means the credit and loan facilities provided for in this Agreement pursuant to the Revolving A Facility and the Revolving B Facility, and “Facility” shall refer to either one of them as the context requires.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Facility Fee</w:t>
      </w:r>
      <w:r>
        <w:rPr>
          <w:color w:val="000000"/>
        </w:rPr>
        <w:t xml:space="preserve">” </w:t>
      </w:r>
      <w:r>
        <w:rPr>
          <w:rFonts w:ascii="Times New Roman;sans-serif" w:hAnsi="Times New Roman;sans-serif"/>
          <w:b w:val="false"/>
          <w:color w:val="000000"/>
          <w:sz w:val="22"/>
        </w:rPr>
        <w:t>has the meaning set forth in Section 2.10(a).</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 xml:space="preserve">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 any intergovernmental agreement entered into implementing such </w:t>
      </w:r>
    </w:p>
    <w:p>
      <w:pPr>
        <w:pStyle w:val="TextBody"/>
        <w:bidi w:val="0"/>
        <w:spacing w:before="0" w:after="24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Sections of the Code and any fiscal or regulatory legislation, rules or practices adopted pursuant to intergovernmental agreements.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Federal Funds Rate</w:t>
      </w:r>
      <w:r>
        <w:rPr>
          <w:color w:val="000000"/>
        </w:rPr>
        <w:t xml:space="preserve">” </w:t>
      </w:r>
      <w:r>
        <w:rPr>
          <w:rFonts w:ascii="Times New Roman;sans-serif" w:hAnsi="Times New Roman;sans-serif"/>
          <w:b w:val="false"/>
          <w:color w:val="000000"/>
          <w:sz w:val="22"/>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Federal Funds Rate as so determined would be less than zero, such rate shall be deemed to be zero for purposes of this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Fee Letter</w:t>
      </w:r>
      <w:r>
        <w:rPr>
          <w:color w:val="000000"/>
        </w:rPr>
        <w:t xml:space="preserve">” </w:t>
      </w:r>
      <w:r>
        <w:rPr>
          <w:rFonts w:ascii="Times New Roman;sans-serif" w:hAnsi="Times New Roman;sans-serif"/>
          <w:b w:val="false"/>
          <w:color w:val="000000"/>
          <w:sz w:val="22"/>
        </w:rPr>
        <w:t xml:space="preserve">means that certain Fee Letter, dated as of November 23, 2022, by and between the Borrower and Bank of America.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Financial Officer</w:t>
      </w:r>
      <w:r>
        <w:rPr>
          <w:color w:val="000000"/>
        </w:rPr>
        <w:t xml:space="preserve">” </w:t>
      </w:r>
      <w:r>
        <w:rPr>
          <w:rFonts w:ascii="Times New Roman;sans-serif" w:hAnsi="Times New Roman;sans-serif"/>
          <w:b w:val="false"/>
          <w:color w:val="000000"/>
          <w:sz w:val="22"/>
        </w:rPr>
        <w:t>means the chief financial officer, principal accounting officer, treasurer or controller of the Borrower.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Foreign Lender</w:t>
      </w:r>
      <w:r>
        <w:rPr>
          <w:color w:val="000000"/>
        </w:rPr>
        <w:t xml:space="preserve">” </w:t>
      </w:r>
      <w:r>
        <w:rPr>
          <w:rFonts w:ascii="Times New Roman;sans-serif" w:hAnsi="Times New Roman;sans-serif"/>
          <w:b w:val="false"/>
          <w:color w:val="000000"/>
          <w:sz w:val="22"/>
        </w:rPr>
        <w:t>means any Lender that is not a “United States person” as defined in Section 7701(a)(30) of the Code.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with respect to any Person, any Subsidiary of such Person that is not organized under the laws of the United States of America,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Fronting Exposure</w:t>
      </w:r>
      <w:r>
        <w:rPr>
          <w:color w:val="000000"/>
        </w:rPr>
        <w:t xml:space="preserve">” </w:t>
      </w:r>
      <w:r>
        <w:rPr>
          <w:rFonts w:ascii="Times New Roman;sans-serif" w:hAnsi="Times New Roman;sans-serif"/>
          <w:b w:val="false"/>
          <w:color w:val="000000"/>
          <w:sz w:val="22"/>
        </w:rPr>
        <w:t>means, at any time there is a Defaulting Lender, with respect to any Issuing Bank, such Defaulting Lender’s Applicable Percentage of the outstanding LC Exposure other than LC Exposure as to which such Defaulting Lender’s participation obligation has been reallocated to other Lenders or Cash Collateralized in accordance with the terms hereof.</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Fund</w:t>
      </w:r>
      <w:r>
        <w:rPr>
          <w:color w:val="000000"/>
        </w:rPr>
        <w:t xml:space="preserve">” </w:t>
      </w:r>
      <w:r>
        <w:rPr>
          <w:rFonts w:ascii="Times New Roman;sans-serif" w:hAnsi="Times New Roman;sans-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Funded Indebtedness</w:t>
      </w:r>
      <w:r>
        <w:rPr>
          <w:color w:val="000000"/>
        </w:rPr>
        <w:t xml:space="preserve">” </w:t>
      </w:r>
      <w:r>
        <w:rPr>
          <w:rFonts w:ascii="Times New Roman;sans-serif" w:hAnsi="Times New Roman;sans-serif"/>
          <w:b w:val="false"/>
          <w:color w:val="000000"/>
          <w:sz w:val="22"/>
        </w:rPr>
        <w:t>means, with respect to any Person;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all obligations of such Person for borrowed money;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all obligations of such Person evidenced by bonds, debentures, notes or similar instruments;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all obligations of such Person in respect of the deferred purchase price of property or services (excluding trade accounts payable and other accrued obligations, in each case incurred in the ordinary course of business);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all Funded Indebtedness of others secured by (or for which the holder of such Indebtedness has an existing right, contingent or otherwise, to be secured by) any Lien on property owned or acquired by such Person, whether or not the Funded Indebtedness secured thereby has been assumed;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all Guarantees by such Person of Funded Indebtedness of others;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all Capital Lease Obligations of such Person; and</w:t>
      </w:r>
    </w:p>
    <w:p>
      <w:pPr>
        <w:pStyle w:val="TextBody"/>
        <w:bidi w:val="0"/>
        <w:spacing w:before="0" w:after="24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    all drafts drawn (to the extent unreimbursed) under any letter of credit, letter of guaranty or bankers’ acceptance for the account of such Person.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any other provision of this Agreement to the contrary, (i) the term “Funded Indebtedness” shall not include contingent post-closing purchase price adjustments or earn-outs to which the seller in any Acquisition may become entitled and (ii) the amount of Funded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Funded Indebtedness.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 xml:space="preserve">means generally accepted accounting principles in the United States of America;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 may make a one-time election to switch to IFRS, if permitted to do so by the SEC in the Borrower’s filings with the SEC, and following such election and the notification in writing to the Administrative Agent by the Borrower thereof, “GAAP” shall mean IFRS. After such election, the Borrower cannot subsequently elect to report under generally accepted accounting principles in the United States of America.</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Guarantee</w:t>
      </w:r>
      <w:r>
        <w:rPr>
          <w:color w:val="000000"/>
        </w:rPr>
        <w:t xml:space="preserve">” </w:t>
      </w:r>
      <w:r>
        <w:rPr>
          <w:rFonts w:ascii="Times New Roman;sans-serif" w:hAnsi="Times New Roman;sans-serif"/>
          <w:b w:val="false"/>
          <w:color w:val="000000"/>
          <w:sz w:val="22"/>
        </w:rPr>
        <w:t>of or by any Person (the “</w:t>
      </w:r>
      <w:r>
        <w:rPr>
          <w:rFonts w:ascii="Times New Roman;sans-serif" w:hAnsi="Times New Roman;sans-serif"/>
          <w:b w:val="false"/>
          <w:color w:val="000000"/>
          <w:sz w:val="22"/>
          <w:u w:val="single"/>
        </w:rPr>
        <w:t>guarantor</w:t>
      </w:r>
      <w:r>
        <w:rPr>
          <w:color w:val="000000"/>
        </w:rPr>
        <w:t>”</w:t>
      </w:r>
      <w:r>
        <w:rPr>
          <w:rFonts w:ascii="Times New Roman;sans-serif" w:hAnsi="Times New Roman;sans-serif"/>
          <w:b w:val="false"/>
          <w:color w:val="000000"/>
          <w:sz w:val="22"/>
        </w:rPr>
        <w:t>) means any obligation, contingent or otherwise, of the guarantor guaranteeing or having the economic effect of guaranteeing any Indebtedness or other obligation of any other Person (the “</w:t>
      </w:r>
      <w:r>
        <w:rPr>
          <w:rFonts w:ascii="Times New Roman;sans-serif" w:hAnsi="Times New Roman;sans-serif"/>
          <w:b w:val="false"/>
          <w:color w:val="000000"/>
          <w:sz w:val="22"/>
          <w:u w:val="single"/>
        </w:rPr>
        <w:t>primary obligor</w:t>
      </w:r>
      <w:r>
        <w:rPr>
          <w:color w:val="000000"/>
        </w:rPr>
        <w:t>”</w:t>
      </w:r>
      <w:r>
        <w:rPr>
          <w:rFonts w:ascii="Times New Roman;sans-serif" w:hAnsi="Times New Roman;sans-serif"/>
          <w:b w:val="false"/>
          <w:color w:val="000000"/>
          <w:sz w:val="22"/>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term Guarantee shall not include endorsements for collection or deposit in the ordinary course of business. “</w:t>
      </w:r>
      <w:r>
        <w:rPr>
          <w:rFonts w:ascii="Times New Roman;sans-serif" w:hAnsi="Times New Roman;sans-serif"/>
          <w:b w:val="false"/>
          <w:color w:val="000000"/>
          <w:sz w:val="22"/>
          <w:u w:val="single"/>
        </w:rPr>
        <w:t>Guaranteed</w:t>
      </w:r>
      <w:r>
        <w:rPr>
          <w:color w:val="000000"/>
        </w:rPr>
        <w:t xml:space="preserve">” </w:t>
      </w:r>
      <w:r>
        <w:rPr>
          <w:rFonts w:ascii="Times New Roman;sans-serif" w:hAnsi="Times New Roman;sans-serif"/>
          <w:b w:val="false"/>
          <w:color w:val="000000"/>
          <w:sz w:val="22"/>
        </w:rPr>
        <w:t>shall have a meaning correlative thereto.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guarantor</w:t>
      </w:r>
      <w:r>
        <w:rPr>
          <w:color w:val="000000"/>
        </w:rPr>
        <w:t xml:space="preserve">” </w:t>
      </w:r>
      <w:r>
        <w:rPr>
          <w:rFonts w:ascii="Times New Roman;sans-serif" w:hAnsi="Times New Roman;sans-serif"/>
          <w:b w:val="false"/>
          <w:color w:val="000000"/>
          <w:sz w:val="22"/>
        </w:rPr>
        <w:t>has the meaning specified in the definition of Guarantee.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all explosive or radioactive substances, materials or wastes and all hazardous or toxic substances, materials, wastes or other pollutants, including petroleum or petroleum distillates, asbestos or asbestos containing materials, polychlorinated biphenyls, radon gas, infectious or medical wastes and all other substances, materials or wastes of any nature regulated pursuant to any Environmental Law.</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HMT</w:t>
      </w:r>
      <w:r>
        <w:rPr>
          <w:color w:val="000000"/>
        </w:rPr>
        <w:t xml:space="preserve">” </w:t>
      </w:r>
      <w:r>
        <w:rPr>
          <w:rFonts w:ascii="Times New Roman;sans-serif" w:hAnsi="Times New Roman;sans-serif"/>
          <w:b w:val="false"/>
          <w:color w:val="000000"/>
          <w:sz w:val="22"/>
        </w:rPr>
        <w:t>has the meaning specified in the definition of Sanction(s).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Honor Date</w:t>
      </w:r>
      <w:r>
        <w:rPr>
          <w:color w:val="000000"/>
        </w:rPr>
        <w:t xml:space="preserve">” </w:t>
      </w:r>
      <w:r>
        <w:rPr>
          <w:rFonts w:ascii="Times New Roman;sans-serif" w:hAnsi="Times New Roman;sans-serif"/>
          <w:b w:val="false"/>
          <w:color w:val="000000"/>
          <w:sz w:val="22"/>
        </w:rPr>
        <w:t>has the meaning set forth in Section 2.05(a)(ix).</w:t>
      </w:r>
    </w:p>
    <w:p>
      <w:pPr>
        <w:pStyle w:val="TextBody"/>
        <w:bidi w:val="0"/>
        <w:spacing w:before="0" w:after="24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IFRS</w:t>
      </w:r>
      <w:r>
        <w:rPr>
          <w:color w:val="000000"/>
        </w:rPr>
        <w:t xml:space="preserve">” </w:t>
      </w:r>
      <w:r>
        <w:rPr>
          <w:rFonts w:ascii="Times New Roman;sans-serif" w:hAnsi="Times New Roman;sans-serif"/>
          <w:b w:val="false"/>
          <w:color w:val="000000"/>
          <w:sz w:val="22"/>
        </w:rPr>
        <w:t>means the International Financial Reporting Standards issued and/or adopted by the International Accounting Standards Board, as in effect from time to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Incremental Facility Amendment</w:t>
      </w:r>
      <w:r>
        <w:rPr>
          <w:color w:val="000000"/>
        </w:rPr>
        <w:t xml:space="preserve">” </w:t>
      </w:r>
      <w:r>
        <w:rPr>
          <w:rFonts w:ascii="Times New Roman;sans-serif" w:hAnsi="Times New Roman;sans-serif"/>
          <w:b w:val="false"/>
          <w:color w:val="000000"/>
          <w:sz w:val="22"/>
        </w:rPr>
        <w:t>has the meaning set forth in Section 2.18(b).</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Incremental Facility Closing Date</w:t>
      </w:r>
      <w:r>
        <w:rPr>
          <w:color w:val="000000"/>
        </w:rPr>
        <w:t xml:space="preserve">” </w:t>
      </w:r>
      <w:r>
        <w:rPr>
          <w:rFonts w:ascii="Times New Roman;sans-serif" w:hAnsi="Times New Roman;sans-serif"/>
          <w:b w:val="false"/>
          <w:color w:val="000000"/>
          <w:sz w:val="22"/>
        </w:rPr>
        <w:t>has the meaning assigned to such term in Section 2.18(b).</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Incremental Revolving Commitments</w:t>
      </w:r>
      <w:r>
        <w:rPr>
          <w:color w:val="000000"/>
        </w:rPr>
        <w:t xml:space="preserve">” </w:t>
      </w:r>
      <w:r>
        <w:rPr>
          <w:rFonts w:ascii="Times New Roman;sans-serif" w:hAnsi="Times New Roman;sans-serif"/>
          <w:b w:val="false"/>
          <w:color w:val="000000"/>
          <w:sz w:val="22"/>
        </w:rPr>
        <w:t>has the meaning assigned to such term in Section 2.18(a).</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of any Person means, without duplication, (a) all obligations of such Person for borrowed money, (b) all obligations of such Person evidenced by bonds, debentures, notes or similar instruments, (c) all obligations of such Person upon which interest charges are customarily paid by such Person (excluding any obligations in respect of cash deposits by any Clearing Member (as defined below) for margin, any default fund or otherwise in the ordinary course of business), (d) all obligations of such Person under conditional sale or other title retention agreements relating to property acquired by such Person, (e) all obligations of such Person in respect of the deferred purchase price of property or services (excluding trade accounts payable and other accrued obligations, in each case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(other than any Guarantee provided by (x) any Clearing House (as defined below) to Clearing Members in the ordinary course of business for their obligations to one another or (y) to the extent considered Indebtedness, the Borrower or any Subsidiary to any other Person providing a clearing arrangement in connection with the fixed income trading business of the Borrower and its Subsidiaries), (h) all Capital Lease Obligations of such Person, (i) all obligations of such Person as an account party in respect of letters of credit and letters of guaranty (but only to the extent drawn and not reimbursed) and (j) all obligations of such Person in respect of bankers’ acceptances (but only to the extent drawn and not reimbursed).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 the term “Indebtedness” shall not include contingent post-closing purchase price adjustments or earn-outs to which the seller in any Acquisition may become entitled and (ii) the amount of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Indebtedness and “Indebtedness” shall not include (a) with respect to the transfer of positions and related margin from a suspended Clearing Member to another Clearing Member or the liquidation of any suspended or non-performing Clearing Member’s positions and related margin, obligations of the Borrower or a Subsidiary thereof to make a transfer in cash in respect of margin related to such suspended or non-performing Clearing Member’s positions, and (b) with respect to any Clearing House, any transaction with respect to which such entity is a party solely in its capacity as a central counterparty.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means all Taxes other than Excluded Taxes and Other Taxes.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Indemnitee</w:t>
      </w:r>
      <w:r>
        <w:rPr>
          <w:color w:val="000000"/>
        </w:rPr>
        <w:t xml:space="preserve">” </w:t>
      </w:r>
      <w:r>
        <w:rPr>
          <w:rFonts w:ascii="Times New Roman;sans-serif" w:hAnsi="Times New Roman;sans-serif"/>
          <w:b w:val="false"/>
          <w:color w:val="000000"/>
          <w:sz w:val="22"/>
        </w:rPr>
        <w:t>has the meaning set forth in Section 9.03(b).</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has the meaning set forth in Section 9.12.</w:t>
      </w:r>
    </w:p>
    <w:p>
      <w:pPr>
        <w:pStyle w:val="TextBody"/>
        <w:bidi w:val="0"/>
        <w:spacing w:before="0" w:after="24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means (a) with respect to any ABR Loan or Daily Simple SOFR Loan, the last Business Day of each March, June, September and December and the Maturity Date of such Loan, (b) with respect to any Benchmark Loan denominated in Sterling, the last Business Day of each month and the Maturity Date of such Loan and (c) with respect to any Benchmark Loan not denominated in Sterling, the last Business Day of the Interest Period applicable to the Borrowing of which such Loan is a part and, in the case of a Benchmark Borrowing with an Interest Period of more than three months’ duration, each Business Day prior to the last day of such Interest Period that occurs at intervals of three months’ duration after the first day of such Interest Period and the Maturity Date of such Loan.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 xml:space="preserve">means, with respect to any Benchmark Borrowing (other than Borrowings denominated in Sterling), the period commencing on the date of such Borrowing and ending on the numerically corresponding day in the calendar month that is one, three or, except with respect to a Benchmark Borrowing denominated in Canadian Dollars, six months thereafter (or such other period reasonably satisfactory to the Administrative Agent that is twelve months or less if, at the time of the relevant Borrowing, all Lenders participating therein agree in writing to make an interest period of such duration available), as the Borrower may elect;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for any Borrowing shall extend past the Maturity Date for the Loans included in such Borrowing. For purposes hereof, the date of a Borrowing initially shall be the date on which such Borrowing is made and thereafter shall be the effective date of the most recent conversion or continuation of such Borrowing.</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Investment</w:t>
      </w:r>
      <w:r>
        <w:rPr>
          <w:color w:val="000000"/>
        </w:rPr>
        <w:t xml:space="preserve">” </w:t>
      </w:r>
      <w:r>
        <w:rPr>
          <w:rFonts w:ascii="Times New Roman;sans-serif" w:hAnsi="Times New Roman;sans-serif"/>
          <w:b w:val="false"/>
          <w:color w:val="000000"/>
          <w:sz w:val="22"/>
        </w:rPr>
        <w:t>means, as to any Person, any direct or indirect acquisition or investment (in one transaction or a series of transactions) by such Person, whether by means of (a) the purchase or other acquisition (including pursuant to any merger with any Person that was not a Wholly-Owned Subsidiary prior to such merger) of any Equity Interests or Equity Equivalents in or evidences of Indebtedness or other securities of another Person (including any option, warrant or other right to acquire any of the foregoing),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ISP</w:t>
      </w:r>
      <w:r>
        <w:rPr>
          <w:color w:val="000000"/>
        </w:rPr>
        <w:t xml:space="preserve">” </w:t>
      </w:r>
      <w:r>
        <w:rPr>
          <w:rFonts w:ascii="Times New Roman;sans-serif" w:hAnsi="Times New Roman;sans-serif"/>
          <w:b w:val="false"/>
          <w:color w:val="000000"/>
          <w:sz w:val="22"/>
        </w:rPr>
        <w:t>means, with respect to any Letter of Credit, the “International Standby Practices 1998” published by the Institute of International Banking Law &amp; Practice (or such later version thereof as may be in effect at the time of issuance).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Issuer Documents</w:t>
      </w:r>
      <w:r>
        <w:rPr>
          <w:color w:val="000000"/>
        </w:rPr>
        <w:t xml:space="preserve">” </w:t>
      </w:r>
      <w:r>
        <w:rPr>
          <w:rFonts w:ascii="Times New Roman;sans-serif" w:hAnsi="Times New Roman;sans-serif"/>
          <w:b w:val="false"/>
          <w:color w:val="000000"/>
          <w:sz w:val="22"/>
        </w:rPr>
        <w:t>means, with respect to any Letter of Credit, the Letter of Credit Application and any other document, agreement and instrument entered into by the applicable Issuing Bank and the Borrower (or any Subsidiary) or in favor of such Issuing Bank and relating to such Letter of Credit.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Issuing Bank</w:t>
      </w:r>
      <w:r>
        <w:rPr>
          <w:color w:val="000000"/>
        </w:rPr>
        <w:t xml:space="preserve">” </w:t>
      </w:r>
      <w:r>
        <w:rPr>
          <w:rFonts w:ascii="Times New Roman;sans-serif" w:hAnsi="Times New Roman;sans-serif"/>
          <w:b w:val="false"/>
          <w:color w:val="000000"/>
          <w:sz w:val="22"/>
        </w:rPr>
        <w:t xml:space="preserve">means (a) initially, Bank of America, in its capacity as the issuer of Letters of Credit hereunder, and (b) any other Revolving Lender that becomes an Issuing Bank in accordance with Section 2.05(i), Article VIII or Section 9.04(e), in each case, in its capacity as an issuer of Letters of Credit hereunder. Any Issuing Bank may, in its discretion, arrange for one or more Letters of Credit to be </w:t>
      </w:r>
    </w:p>
    <w:p>
      <w:pPr>
        <w:pStyle w:val="TextBody"/>
        <w:bidi w:val="0"/>
        <w:spacing w:before="0" w:after="24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issued by Affiliates of such Issuing Bank, in which case the term “Issuing Bank” shall include any such Affiliate with respect to Letters of Credit issued by such Affiliate.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Joint Bookrunning Managers</w:t>
      </w:r>
      <w:r>
        <w:rPr>
          <w:color w:val="000000"/>
        </w:rPr>
        <w:t xml:space="preserve">” </w:t>
      </w:r>
      <w:r>
        <w:rPr>
          <w:rFonts w:ascii="Times New Roman;sans-serif" w:hAnsi="Times New Roman;sans-serif"/>
          <w:b w:val="false"/>
          <w:color w:val="000000"/>
          <w:sz w:val="22"/>
        </w:rPr>
        <w:t>means BofA Securities, Inc., JPMorgan Chase Bank, N.A., Mizuho Bank, LTD., Nordea Bank ABP, New York Branch, Skandinaviska Enskilda Banken AB (publ) and Wells Fargo Securities LLC, in their capacities as joint bookrunning managers.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Judgment Currency</w:t>
      </w:r>
      <w:r>
        <w:rPr>
          <w:color w:val="000000"/>
        </w:rPr>
        <w:t xml:space="preserve">” </w:t>
      </w:r>
      <w:r>
        <w:rPr>
          <w:rFonts w:ascii="Times New Roman;sans-serif" w:hAnsi="Times New Roman;sans-serif"/>
          <w:b w:val="false"/>
          <w:color w:val="000000"/>
          <w:sz w:val="22"/>
        </w:rPr>
        <w:t>has the meaning assigned to such term by Section 9.16.</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KPI Metric</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val="false"/>
          <w:color w:val="0000FF"/>
          <w:sz w:val="22"/>
          <w:u w:val="single"/>
        </w:rPr>
        <w:t xml:space="preserve">(I) for the calendar year ended December 31, 2023, </w:t>
      </w:r>
      <w:r>
        <w:rPr>
          <w:rFonts w:ascii="Times New Roman;sans-serif" w:hAnsi="Times New Roman;sans-serif"/>
          <w:b w:val="false"/>
          <w:color w:val="000000"/>
          <w:sz w:val="22"/>
        </w:rPr>
        <w:t>each of the Percent Diverse Spend and Percent SBT Spend</w:t>
      </w:r>
      <w:r>
        <w:rPr>
          <w:rFonts w:ascii="Times New Roman;sans-serif" w:hAnsi="Times New Roman;sans-serif"/>
          <w:b w:val="false"/>
          <w:color w:val="0000FF"/>
          <w:sz w:val="22"/>
          <w:u w:val="single"/>
        </w:rPr>
        <w:t>, and (II) for the calendar year ending December 31, 2024, and for each calendar year thereafter, the Percent SBT Spend</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KPI Metrics Report</w:t>
      </w:r>
      <w:r>
        <w:rPr>
          <w:color w:val="000000"/>
        </w:rPr>
        <w:t xml:space="preserve">” </w:t>
      </w:r>
      <w:r>
        <w:rPr>
          <w:rFonts w:ascii="Times New Roman;sans-serif" w:hAnsi="Times New Roman;sans-serif"/>
          <w:b w:val="false"/>
          <w:color w:val="000000"/>
          <w:sz w:val="22"/>
        </w:rPr>
        <w:t>means an annual report (it being understood that this annual report may take the form of the annual Sustainability Report) that sets forth reasonably detailed calculations for each</w:t>
      </w:r>
      <w:r>
        <w:rPr>
          <w:color w:val="0000FF"/>
          <w:u w:val="single"/>
        </w:rPr>
        <w:t xml:space="preserve"> </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KPI Metric for the most recently ended calendar year.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LC Advance</w:t>
      </w:r>
      <w:r>
        <w:rPr>
          <w:color w:val="000000"/>
        </w:rPr>
        <w:t xml:space="preserve">” </w:t>
      </w:r>
      <w:r>
        <w:rPr>
          <w:rFonts w:ascii="Times New Roman;sans-serif" w:hAnsi="Times New Roman;sans-serif"/>
          <w:b w:val="false"/>
          <w:color w:val="000000"/>
          <w:sz w:val="22"/>
        </w:rPr>
        <w:t>means, with respect to each Revolving Lender, such Lender’s funding of its participation in any LC Borrowing in accordance with its Applicable Percentage.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LC Borrowing</w:t>
      </w:r>
      <w:r>
        <w:rPr>
          <w:color w:val="000000"/>
        </w:rPr>
        <w:t xml:space="preserve">” </w:t>
      </w:r>
      <w:r>
        <w:rPr>
          <w:rFonts w:ascii="Times New Roman;sans-serif" w:hAnsi="Times New Roman;sans-serif"/>
          <w:b w:val="false"/>
          <w:color w:val="000000"/>
          <w:sz w:val="22"/>
        </w:rPr>
        <w:t>means an extension of credit resulting from a drawing under any Letter of Credit which has not been reimbursed by the Borrower on the date when made or refinanced as a Revolving Loan. All LC Borrowings shall be denominated in Dollars.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LC Credit Extension</w:t>
      </w:r>
      <w:r>
        <w:rPr>
          <w:color w:val="000000"/>
        </w:rPr>
        <w:t xml:space="preserve">” </w:t>
      </w:r>
      <w:r>
        <w:rPr>
          <w:rFonts w:ascii="Times New Roman;sans-serif" w:hAnsi="Times New Roman;sans-serif"/>
          <w:b w:val="false"/>
          <w:color w:val="000000"/>
          <w:sz w:val="22"/>
        </w:rPr>
        <w:t>means, with respect to any Letter of Credit, the issuance thereof or extension of the expiry date thereof, or the increase of the amount thereof.</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LC Disbursement</w:t>
      </w:r>
      <w:r>
        <w:rPr>
          <w:color w:val="000000"/>
        </w:rPr>
        <w:t xml:space="preserve">” </w:t>
      </w:r>
      <w:r>
        <w:rPr>
          <w:rFonts w:ascii="Times New Roman;sans-serif" w:hAnsi="Times New Roman;sans-serif"/>
          <w:b w:val="false"/>
          <w:color w:val="000000"/>
          <w:sz w:val="22"/>
        </w:rPr>
        <w:t>means a payment made by an Issuing Bank pursuant to a Letter of Credit.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LC Exposure</w:t>
      </w:r>
      <w:r>
        <w:rPr>
          <w:color w:val="000000"/>
        </w:rPr>
        <w:t xml:space="preserve">” </w:t>
      </w:r>
      <w:r>
        <w:rPr>
          <w:rFonts w:ascii="Times New Roman;sans-serif" w:hAnsi="Times New Roman;sans-serif"/>
          <w:b w:val="false"/>
          <w:color w:val="000000"/>
          <w:sz w:val="22"/>
        </w:rPr>
        <w:t>means, at any time, the sum of the aggregate Tranche A LC Exposures and the aggregate Tranche B LC Exposures.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 xml:space="preserve">means the Persons listed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and any other Person that shall have become a party hereto pursuant to Section 9.04 or pursuant to an Incremental Facility Amendment, unless and until (a) any such Person ceases to be a party hereto pursuant to Section 9.04 or (b) the Commitments, if any, held by such Person have been terminated and the Obligations (other than contingent Obligations with respect to which no claim has been made), if any, owing to such Person have been paid in full.</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Lender Recipient Parties</w:t>
      </w:r>
      <w:r>
        <w:rPr>
          <w:color w:val="000000"/>
        </w:rPr>
        <w:t xml:space="preserve">” </w:t>
      </w:r>
      <w:r>
        <w:rPr>
          <w:rFonts w:ascii="Times New Roman;sans-serif" w:hAnsi="Times New Roman;sans-serif"/>
          <w:b w:val="false"/>
          <w:color w:val="000000"/>
          <w:sz w:val="22"/>
        </w:rPr>
        <w:t xml:space="preserve">means, collectively, the Lenders and the Issuing Banks.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Letter of Credit</w:t>
      </w:r>
      <w:r>
        <w:rPr>
          <w:color w:val="000000"/>
        </w:rPr>
        <w:t xml:space="preserve">” </w:t>
      </w:r>
      <w:r>
        <w:rPr>
          <w:rFonts w:ascii="Times New Roman;sans-serif" w:hAnsi="Times New Roman;sans-serif"/>
          <w:b w:val="false"/>
          <w:color w:val="000000"/>
          <w:sz w:val="22"/>
        </w:rPr>
        <w:t>means any standby letter of credit issued pursuant to this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Letter of Credit Application</w:t>
      </w:r>
      <w:r>
        <w:rPr>
          <w:color w:val="000000"/>
        </w:rPr>
        <w:t xml:space="preserve">” </w:t>
      </w:r>
      <w:r>
        <w:rPr>
          <w:rFonts w:ascii="Times New Roman;sans-serif" w:hAnsi="Times New Roman;sans-serif"/>
          <w:b w:val="false"/>
          <w:color w:val="000000"/>
          <w:sz w:val="22"/>
        </w:rPr>
        <w:t>means an application and agreement for the issuance or amendment of a Letter of Credit in the form from time to time in use by any Issuing Bank.</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Letter of Credit Fees</w:t>
      </w:r>
      <w:r>
        <w:rPr>
          <w:color w:val="000000"/>
        </w:rPr>
        <w:t xml:space="preserve">” </w:t>
      </w:r>
      <w:r>
        <w:rPr>
          <w:rFonts w:ascii="Times New Roman;sans-serif" w:hAnsi="Times New Roman;sans-serif"/>
          <w:b w:val="false"/>
          <w:color w:val="000000"/>
          <w:sz w:val="22"/>
        </w:rPr>
        <w:t>has the meaning specified in Section 2.10(b).</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Leverage Ratio</w:t>
      </w:r>
      <w:r>
        <w:rPr>
          <w:color w:val="000000"/>
        </w:rPr>
        <w:t xml:space="preserve">” </w:t>
      </w:r>
      <w:r>
        <w:rPr>
          <w:rFonts w:ascii="Times New Roman;sans-serif" w:hAnsi="Times New Roman;sans-serif"/>
          <w:b w:val="false"/>
          <w:color w:val="000000"/>
          <w:sz w:val="22"/>
        </w:rPr>
        <w:t xml:space="preserve">means as of any date, the ratio of (a) Total Indebtedness as of such date minus the lesser of (i) cash and cash equivalents (determined in accordance with GAAP) of the Borrower and the Subsidiaries, other than (x) cash and cash equivalents not readily available for use by the Borrower in </w:t>
      </w:r>
    </w:p>
    <w:p>
      <w:pPr>
        <w:pStyle w:val="TextBody"/>
        <w:bidi w:val="0"/>
        <w:spacing w:before="0" w:after="24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its discretion (including customer-segregated cash and cash equivalents and cash and cash equivalents required by applicable law or regulatory requirement to be maintained as such by the Borrower or any Subsidiary) and (y) the proceeds of Acquisition Debt, and (ii) $250,000,000, to (b) Consolidated EBITDA for the period of four consecutive fiscal quarters of the Borrower ended on such date (or, if such date is not the last day of a fiscal quarter, ended on the last day of the fiscal quarter of the Borrower most recently ended prior to such date for which financial statements have been delivered pursuant to Section 5.01);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to the contrary herein, at any time after the definitive agreement for any Acquisition shall have been executed (or, in the case of an Acquisition in the form of a tender offer or similar transaction, after the offer shall have been launched) and prior to the consummation of such Acquisition (or termination of the definitive documentation in respect thereof (or such later date as such indebtedness ceases to constitute Acquisition Debt as set forth in the definition of “Acquisition Debt”)), any Acquisition Debt (and the proceeds of such Acquisition Debt) shall be excluded from the determination of the Leverage Ratio.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 xml:space="preserve">means this Agreement, each Issuer Document, any Incremental Facility Amendment, each Additional Borrower Agreement (and any related guarantee by the Borrower pursuant to Section 1.10), Amendment No. 1, Amendment No. </w:t>
      </w:r>
      <w:r>
        <w:rPr>
          <w:rFonts w:ascii="Times New Roman;sans-serif" w:hAnsi="Times New Roman;sans-serif"/>
          <w:b w:val="false"/>
          <w:strike/>
          <w:color w:val="FF0000"/>
          <w:sz w:val="22"/>
        </w:rPr>
        <w:t>2</w:t>
      </w:r>
      <w:r>
        <w:rPr>
          <w:rFonts w:ascii="Times New Roman;sans-serif" w:hAnsi="Times New Roman;sans-serif"/>
          <w:b w:val="false"/>
          <w:color w:val="0000FF"/>
          <w:sz w:val="22"/>
          <w:u w:val="single"/>
        </w:rPr>
        <w:t>2, Amendment No. 3</w:t>
      </w:r>
      <w:r>
        <w:rPr>
          <w:color w:val="000000"/>
        </w:rPr>
        <w:t xml:space="preserve"> </w:t>
      </w:r>
      <w:r>
        <w:rPr>
          <w:rFonts w:ascii="Times New Roman;sans-serif" w:hAnsi="Times New Roman;sans-serif"/>
          <w:b w:val="false"/>
          <w:color w:val="000000"/>
          <w:sz w:val="22"/>
        </w:rPr>
        <w:t xml:space="preserve">and Amendment No. </w:t>
      </w:r>
      <w:r>
        <w:rPr>
          <w:rFonts w:ascii="Times New Roman;sans-serif" w:hAnsi="Times New Roman;sans-serif"/>
          <w:b w:val="false"/>
          <w:strike/>
          <w:color w:val="FF0000"/>
          <w:sz w:val="22"/>
        </w:rPr>
        <w:t>3.</w:t>
      </w:r>
      <w:r>
        <w:rPr>
          <w:rFonts w:ascii="Times New Roman;sans-serif" w:hAnsi="Times New Roman;sans-serif"/>
          <w:b w:val="false"/>
          <w:color w:val="0000FF"/>
          <w:sz w:val="22"/>
          <w:u w:val="single"/>
        </w:rPr>
        <w:t>4.</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Loans</w:t>
      </w:r>
      <w:r>
        <w:rPr>
          <w:color w:val="000000"/>
        </w:rPr>
        <w:t xml:space="preserve">” </w:t>
      </w:r>
      <w:r>
        <w:rPr>
          <w:rFonts w:ascii="Times New Roman;sans-serif" w:hAnsi="Times New Roman;sans-serif"/>
          <w:b w:val="false"/>
          <w:color w:val="000000"/>
          <w:sz w:val="22"/>
        </w:rPr>
        <w:t>means the Revolving Loans.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Margin Stock</w:t>
      </w:r>
      <w:r>
        <w:rPr>
          <w:color w:val="000000"/>
        </w:rPr>
        <w:t xml:space="preserve">” </w:t>
      </w:r>
      <w:r>
        <w:rPr>
          <w:rFonts w:ascii="Times New Roman;sans-serif" w:hAnsi="Times New Roman;sans-serif"/>
          <w:b w:val="false"/>
          <w:color w:val="000000"/>
          <w:sz w:val="22"/>
        </w:rPr>
        <w:t>has the meaning assigned thereto in Regulation U of the Board.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material adverse effect on (a) the business, operations, properties or financial condition of the Borrower and the Subsidiaries, taken as a whole, (b) the ability of the Borrower to perform any of its material obligations under any Loan Document or (c) the rights of or remedies available to the Lenders under the Loan Documents, taken as a whole.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Material Indebtedness</w:t>
      </w:r>
      <w:r>
        <w:rPr>
          <w:color w:val="000000"/>
        </w:rPr>
        <w:t xml:space="preserve">” </w:t>
      </w:r>
      <w:r>
        <w:rPr>
          <w:rFonts w:ascii="Times New Roman;sans-serif" w:hAnsi="Times New Roman;sans-serif"/>
          <w:b w:val="false"/>
          <w:color w:val="000000"/>
          <w:sz w:val="22"/>
        </w:rPr>
        <w:t>means Indebtedness (other than any Obligations), or obligations in respect of one or more Swap Agreements, of any one or more of the Borrower and the Material Subsidiaries in an aggregate principal amount exceeding $150,000,000. For purposes of determining Material Indebtedness, the “principal amount” of the obligations of the Borrower or any Material Subsidiary in respect of any Swap Agreement at any time shall be the maximum aggregate amount (giving effect to any netting agreements) that the Borrower or such Material Subsidiary would be required to pay if such Swap Agreement were terminated at such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Material Subsidiary</w:t>
      </w:r>
      <w:r>
        <w:rPr>
          <w:color w:val="000000"/>
        </w:rPr>
        <w:t xml:space="preserve">” </w:t>
      </w:r>
      <w:r>
        <w:rPr>
          <w:rFonts w:ascii="Times New Roman;sans-serif" w:hAnsi="Times New Roman;sans-serif"/>
          <w:b w:val="false"/>
          <w:color w:val="000000"/>
          <w:sz w:val="22"/>
        </w:rPr>
        <w:t xml:space="preserve">means, at any date of determination, each of the Borrower’s Subsidiaries (i) which the Borrower has elected to treat as a Material Subsidiary, (ii) (a) whose total assets (on a consolidated basis with its subsidiaries) at the last day of the relevant fiscal year (individually or in the aggregate) were greater than 15.0% of the consolidated total assets of the Borrower and the Subsidiaries at such date or (b) whose operating income (calculated in a manner consistent with the public filings of the Borrower) for the most recently ended fiscal year for which financial statements have been delivered pursuant to Section 5.01(a) (individually or in the aggregate) are greater than 15.0% of the consolidated operating income of the Borrower and the Subsidiaries for such fiscal year or (iii) which is an Additional </w:t>
      </w:r>
    </w:p>
    <w:p>
      <w:pPr>
        <w:pStyle w:val="TextBody"/>
        <w:bidi w:val="0"/>
        <w:spacing w:before="0" w:after="24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at no time shall the total consolidated assets or operating income of all Subsidiaries that are not Material Subsidiaries in reliance on clause (ii) above exceed, at such time, 15.0% of the consolidated total assets or 15.0% of the operating income, respectively, of the Borrower and its Subsidiaries and if either such aggregate threshold is exceeded then the Borrower shall designate a sufficient number of Subsidiaries which would not constitute Material Subsidiaries under clause (ii) above as Material Subsidiaries such that neither such aggregate threshold is exceeded. For the avoidance of doubt, for purposes of determining whether any Subsidiary is a Material Subsidiary for purposes of clauses (f), (g), (h), (i), (j) or (k) of Article VII (any such determination that any Subsidiary does not constitute a Material Subsidiary for such purposes, a “</w:t>
      </w:r>
      <w:r>
        <w:rPr>
          <w:rFonts w:ascii="Times New Roman;sans-serif" w:hAnsi="Times New Roman;sans-serif"/>
          <w:b w:val="false"/>
          <w:color w:val="000000"/>
          <w:sz w:val="22"/>
          <w:u w:val="single"/>
        </w:rPr>
        <w:t>Specified Exception</w:t>
      </w:r>
      <w:r>
        <w:rPr>
          <w:color w:val="000000"/>
        </w:rPr>
        <w:t>”</w:t>
      </w:r>
      <w:r>
        <w:rPr>
          <w:rFonts w:ascii="Times New Roman;sans-serif" w:hAnsi="Times New Roman;sans-serif"/>
          <w:b w:val="false"/>
          <w:color w:val="000000"/>
          <w:sz w:val="22"/>
        </w:rPr>
        <w:t>), all Subsidiaries as to which the Borrower has previously relied on a Specified Exception shall be aggregated (based on the calculation of the amounts set forth in clause (ii) of the preceding sentence as of the time such Specified Exception was relied on with respect to each such Subsidiary) for purposes of determining whether a Subsidiary is a Material Subsidiary for purposes of such Specified Exception (</w:t>
      </w:r>
      <w:r>
        <w:rPr>
          <w:rFonts w:ascii="Times New Roman;sans-serif" w:hAnsi="Times New Roman;sans-serif"/>
          <w:b w:val="false"/>
          <w:color w:val="000000"/>
          <w:sz w:val="22"/>
          <w:u w:val="single"/>
        </w:rPr>
        <w:t>e.g</w:t>
      </w:r>
      <w:r>
        <w:rPr>
          <w:rFonts w:ascii="Times New Roman;sans-serif" w:hAnsi="Times New Roman;sans-serif"/>
          <w:b w:val="false"/>
          <w:color w:val="000000"/>
          <w:sz w:val="22"/>
        </w:rPr>
        <w:t>., if on March 1, 2023, a Subsidiary which accounted for 6.0% of the Borrower’s consolidated assets as of December 31, 2022 and 6.0% of the Borrower’s operating income for the year ended December 31, 2022 becomes subject to a proceeding described in clause (h) of Article VII, then for purposes of determining whether a second Subsidiary is a “Material Subsidiary” for purposes of Article VII on March 1, 2023, if such second Subsidiary accounted for 9% of the Borrower’s consolidated assets as of December 31, 2023 and 9% of the Borrower’s operating income for the year ended December 31, 2023, such second Subsidiary would not be a “Material Subsidiary” for purposes of Article VII but if such second Subsidiary accounted for 9.5% of the Borrower’s consolidated assets as of December 31, 2023 and/or 9.5% of the Borrower’s operating income for the year ended December 31, 2023, then such second Subsidiary would constitute a “Material Subsidiary” for purposes of Article VII).</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means December 16, 2027.</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Maximum Rate</w:t>
      </w:r>
      <w:r>
        <w:rPr>
          <w:color w:val="000000"/>
        </w:rPr>
        <w:t xml:space="preserve">” </w:t>
      </w:r>
      <w:r>
        <w:rPr>
          <w:rFonts w:ascii="Times New Roman;sans-serif" w:hAnsi="Times New Roman;sans-serif"/>
          <w:b w:val="false"/>
          <w:color w:val="000000"/>
          <w:sz w:val="22"/>
        </w:rPr>
        <w:t>has the meaning set forth in Section 9.13.</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 multiemployer plan as defined in Section 4001(a)(3) of ERISA, to which the Borrower or any ERISA Affiliate is making or accruing an obligation to make contributions, or has within any of the preceding six Plan years made or accrued an obligation to make contributions.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NIBOR</w:t>
      </w:r>
      <w:r>
        <w:rPr>
          <w:color w:val="000000"/>
        </w:rPr>
        <w:t xml:space="preserve">” </w:t>
      </w:r>
      <w:r>
        <w:rPr>
          <w:rFonts w:ascii="Times New Roman;sans-serif" w:hAnsi="Times New Roman;sans-serif"/>
          <w:b w:val="false"/>
          <w:color w:val="000000"/>
          <w:sz w:val="22"/>
        </w:rPr>
        <w:t>has the meaning specified in the definition of Benchmark Rate.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Non-ABR Lender</w:t>
      </w:r>
      <w:r>
        <w:rPr>
          <w:color w:val="000000"/>
        </w:rPr>
        <w:t xml:space="preserve">” </w:t>
      </w:r>
      <w:r>
        <w:rPr>
          <w:rFonts w:ascii="Times New Roman;sans-serif" w:hAnsi="Times New Roman;sans-serif"/>
          <w:b w:val="false"/>
          <w:color w:val="000000"/>
          <w:sz w:val="22"/>
        </w:rPr>
        <w:t>means any Lender that does not extend credit based on a U.S. “prime rate” or Federal Funds Rate in the ordinary course of its business.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Non-Consenting Lender</w:t>
      </w:r>
      <w:r>
        <w:rPr>
          <w:color w:val="000000"/>
        </w:rPr>
        <w:t xml:space="preserve">” </w:t>
      </w:r>
      <w:r>
        <w:rPr>
          <w:rFonts w:ascii="Times New Roman;sans-serif" w:hAnsi="Times New Roman;sans-serif"/>
          <w:b w:val="false"/>
          <w:color w:val="000000"/>
          <w:sz w:val="22"/>
        </w:rPr>
        <w:t>has the meaning assigned to such term in Section 9.02(c).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Non-Defaulting Lender</w:t>
      </w:r>
      <w:r>
        <w:rPr>
          <w:color w:val="000000"/>
        </w:rPr>
        <w:t xml:space="preserve">” </w:t>
      </w:r>
      <w:r>
        <w:rPr>
          <w:rFonts w:ascii="Times New Roman;sans-serif" w:hAnsi="Times New Roman;sans-serif"/>
          <w:b w:val="false"/>
          <w:color w:val="000000"/>
          <w:sz w:val="22"/>
        </w:rPr>
        <w:t>means, at any time, each Lender that is not a Defaulting Lender at such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Nonrenewal Notice Date</w:t>
      </w:r>
      <w:r>
        <w:rPr>
          <w:color w:val="000000"/>
        </w:rPr>
        <w:t xml:space="preserve">” </w:t>
      </w:r>
      <w:r>
        <w:rPr>
          <w:rFonts w:ascii="Times New Roman;sans-serif" w:hAnsi="Times New Roman;sans-serif"/>
          <w:b w:val="false"/>
          <w:color w:val="000000"/>
          <w:sz w:val="22"/>
        </w:rPr>
        <w:t>has the meaning set forth in Section 2.05(a)(vii).</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Norwegian Kroner</w:t>
      </w:r>
      <w:r>
        <w:rPr>
          <w:color w:val="000000"/>
        </w:rPr>
        <w:t xml:space="preserve">” </w:t>
      </w:r>
      <w:r>
        <w:rPr>
          <w:rFonts w:ascii="Times New Roman;sans-serif" w:hAnsi="Times New Roman;sans-serif"/>
          <w:b w:val="false"/>
          <w:color w:val="000000"/>
          <w:sz w:val="22"/>
        </w:rPr>
        <w:t>means the lawful currency of the Kingdom of Norway.</w:t>
      </w:r>
    </w:p>
    <w:p>
      <w:pPr>
        <w:pStyle w:val="TextBody"/>
        <w:bidi w:val="0"/>
        <w:spacing w:before="0" w:after="24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means (a) the due and punctual payment by the Borrower (and the Additional Borrowers, if any) of (i) the principal of and interest (including interest accruing during the pendency of any bankruptcy, insolvency, receivership or other similar proceeding, regardless of whether allowed or allowable in such proceeding) on the Loans under this Agreement paid equally and ratably, when and as due, whether at maturity, by acceleration, upon one or more dates set for prepayment or otherwise, in each case, free and clear and without deduction for any Indemnified Taxes or Other Taxes, (ii) each payment required to be made by the Borrower (and the Additional Borrowers, if any) under this Agreement in respect of any Letter of Credit, when and as due, including payments in respect of reimbursement of disbursements, interest and fees thereon and obligations to provide cash collateral, and (iii) all other monetary obligations of the Borrower (and the Additional Borrowers, if any) to the Administrative Agent or any of the Lenders under this Agreement and each of the other Loan Documents, paid equally and ratably, including obligations to pay fees (including participation and commitment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performance of all other obligations of the Borrower (and the Additional Borrowers, if any) under or pursuant to this Agreement and each of the other Loan Documents.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means the Office of Foreign Assets Control of the United States Department of the Treasury.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Organizational Documents</w:t>
      </w:r>
      <w:r>
        <w:rPr>
          <w:color w:val="000000"/>
        </w:rPr>
        <w:t xml:space="preserve">” </w:t>
      </w:r>
      <w:r>
        <w:rPr>
          <w:rFonts w:ascii="Times New Roman;sans-serif" w:hAnsi="Times New Roman;sans-serif"/>
          <w:b w:val="false"/>
          <w:color w:val="000000"/>
          <w:sz w:val="22"/>
        </w:rPr>
        <w:t>means, with respect to any Person, the charter, articles or certificate of organization or incorporation and bylaws or other organizational or governing documents of such Person.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means any and all present or future recording, stamp, documentary, excise, property or similar Taxes arising from any payment made under any Loan Document or from the execution, delivery or enforcement of, or otherwise with respect to, any Loan Document, excluding any such Tax imposed as a result of an assignment (other than an assignment made at the request of the Borrower pursuant to Section 2.17(b)) by a Lender (an “</w:t>
      </w:r>
      <w:r>
        <w:rPr>
          <w:rFonts w:ascii="Times New Roman;sans-serif" w:hAnsi="Times New Roman;sans-serif"/>
          <w:b w:val="false"/>
          <w:color w:val="000000"/>
          <w:sz w:val="22"/>
          <w:u w:val="single"/>
        </w:rPr>
        <w:t>Assignment Tax</w:t>
      </w:r>
      <w:r>
        <w:rPr>
          <w:color w:val="000000"/>
        </w:rPr>
        <w:t>”</w:t>
      </w:r>
      <w:r>
        <w:rPr>
          <w:rFonts w:ascii="Times New Roman;sans-serif" w:hAnsi="Times New Roman;sans-serif"/>
          <w:b w:val="false"/>
          <w:color w:val="000000"/>
          <w:sz w:val="22"/>
        </w:rPr>
        <w:t>), if such Assignment Tax is imposed as a result of the assignor or assignee being organized in or having its principal office or applicable lending office in the taxing jurisdiction, or as a result of any other present or former connection between the assignor or assignee and the taxing jurisdiction, other than any connection arising from having executed, delivered, become a party to, performed its obligations under, received payments under, received or perfected a security interest under, engaged in any other transaction pursuant to, or enforced, any Loan Document.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Outstanding Amount</w:t>
      </w:r>
      <w:r>
        <w:rPr>
          <w:color w:val="000000"/>
        </w:rPr>
        <w:t xml:space="preserve">” </w:t>
      </w:r>
      <w:r>
        <w:rPr>
          <w:rFonts w:ascii="Times New Roman;sans-serif" w:hAnsi="Times New Roman;sans-serif"/>
          <w:b w:val="false"/>
          <w:color w:val="000000"/>
          <w:sz w:val="22"/>
        </w:rPr>
        <w:t>means (i) with respect to Loans on any date, the Dollar Equivalent of the aggregate outstanding principal amount thereof after giving effect to any borrowings and prepayments or repayments of such Loans occurring on such date; and (ii) with respect to any Letter of Credit or LC Disbursement on any date, the Dollar Equivalent of the aggregate outstanding amount of such Letter of Credit or LC Disbursement on such date after giving effect to any issuance or amendment of any Letter of Credit occurring on such date, any drawing under any Letter of Credit occurring on such date and any other changes in the aggregate amount of the LC Exposure as of such date, including as a result of any reimbursements by or on behalf of the Borrower of LC Disbursements.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Overnight Rate</w:t>
      </w:r>
      <w:r>
        <w:rPr>
          <w:color w:val="000000"/>
        </w:rPr>
        <w:t xml:space="preserve">” </w:t>
      </w:r>
      <w:r>
        <w:rPr>
          <w:rFonts w:ascii="Times New Roman;sans-serif" w:hAnsi="Times New Roman;sans-serif"/>
          <w:b w:val="false"/>
          <w:color w:val="000000"/>
          <w:sz w:val="22"/>
        </w:rPr>
        <w:t xml:space="preserve">means, for any day, (a) with respect to any amount denominated in Dollars, the greater of (i) the Federal Funds Rate and (ii) an overnight rate determined by the Administrative Agent or </w:t>
      </w:r>
    </w:p>
    <w:p>
      <w:pPr>
        <w:pStyle w:val="TextBody"/>
        <w:bidi w:val="0"/>
        <w:spacing w:before="0" w:after="24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an Issuing Bank,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parent</w:t>
      </w:r>
      <w:r>
        <w:rPr>
          <w:color w:val="000000"/>
        </w:rPr>
        <w:t xml:space="preserve">” </w:t>
      </w:r>
      <w:r>
        <w:rPr>
          <w:rFonts w:ascii="Times New Roman;sans-serif" w:hAnsi="Times New Roman;sans-serif"/>
          <w:b w:val="false"/>
          <w:color w:val="000000"/>
          <w:sz w:val="22"/>
        </w:rPr>
        <w:t>has the meaning specified in the definition of subsidiary.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has the meaning assigned to such term in Section 9.04(c)(i).</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has the meaning specified in Section 9.04(c)(i).</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Participating Member State</w:t>
      </w:r>
      <w:r>
        <w:rPr>
          <w:color w:val="000000"/>
        </w:rPr>
        <w:t xml:space="preserve">” </w:t>
      </w:r>
      <w:r>
        <w:rPr>
          <w:rFonts w:ascii="Times New Roman;sans-serif" w:hAnsi="Times New Roman;sans-serif"/>
          <w:b w:val="false"/>
          <w:color w:val="000000"/>
          <w:sz w:val="22"/>
        </w:rPr>
        <w:t>means any member state of the European Communities that adopts or has adopted the Euro as its lawful currency in accordance with legislation of the European Community relating to Economic and Monetary Union.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Patriot Act</w:t>
      </w:r>
      <w:r>
        <w:rPr>
          <w:color w:val="000000"/>
        </w:rPr>
        <w:t xml:space="preserve">” </w:t>
      </w:r>
      <w:r>
        <w:rPr>
          <w:rFonts w:ascii="Times New Roman;sans-serif" w:hAnsi="Times New Roman;sans-serif"/>
          <w:b w:val="false"/>
          <w:color w:val="000000"/>
          <w:sz w:val="22"/>
        </w:rPr>
        <w:t>has the meaning assigned to such term in Section 9.14.</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 referred to and defined in ERISA and any successor entity performing similar functions.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Percent Diverse Spend</w:t>
      </w:r>
      <w:r>
        <w:rPr>
          <w:color w:val="000000"/>
        </w:rPr>
        <w:t xml:space="preserve">” </w:t>
      </w:r>
      <w:r>
        <w:rPr>
          <w:rFonts w:ascii="Times New Roman;sans-serif" w:hAnsi="Times New Roman;sans-serif"/>
          <w:b w:val="false"/>
          <w:color w:val="000000"/>
          <w:sz w:val="22"/>
        </w:rPr>
        <w:t xml:space="preserve">means the percentage of the Borrower’s U.S. based Addressable Spend from certified U.S. based, Diverse-Owned Suppliers in relation to the Borrower’s total U.S. based Addressable Spend.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Percent SBT Spend</w:t>
      </w:r>
      <w:r>
        <w:rPr>
          <w:color w:val="000000"/>
        </w:rPr>
        <w:t xml:space="preserve">” </w:t>
      </w:r>
      <w:r>
        <w:rPr>
          <w:rFonts w:ascii="Times New Roman;sans-serif" w:hAnsi="Times New Roman;sans-serif"/>
          <w:b w:val="false"/>
          <w:color w:val="000000"/>
          <w:sz w:val="22"/>
        </w:rPr>
        <w:t>means the percentage of the Borrower’s global Addressable Spend from Suppliers with SBT in relation to the Borrower’s total global Addressable Spend.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Permitted Encumbrances</w:t>
      </w:r>
      <w:r>
        <w:rPr>
          <w:color w:val="000000"/>
        </w:rPr>
        <w:t xml:space="preserve">” </w:t>
      </w:r>
      <w:r>
        <w:rPr>
          <w:rFonts w:ascii="Times New Roman;sans-serif" w:hAnsi="Times New Roman;sans-serif"/>
          <w:b w:val="false"/>
          <w:color w:val="000000"/>
          <w:sz w:val="22"/>
        </w:rPr>
        <w:t>means: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Liens imposed by law for taxes, assessments or other governmental charges that are not yet due or are being contested in good faith by appropriate proceedings;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carriers’, warehousemen’s, mechanics’, materialmen’s, repairmen’s, landlords’ and other like Liens imposed by law, arising in the ordinary course of business and securing obligations that are not overdue by more than 60 days or are being contested in good faith by appropriate proceedings;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pledges and deposits made in the ordinary course of business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deposits to secure the performance of bids, trade contracts, leases, statutory obligations, surety and appeal bonds, performance bonds and other obligations of a like nature, in each case in the ordinary course of business;</w:t>
      </w:r>
    </w:p>
    <w:p>
      <w:pPr>
        <w:pStyle w:val="TextBody"/>
        <w:bidi w:val="0"/>
        <w:spacing w:before="0" w:after="24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judgment liens in respect of judgments that do not constitute an Event of Default under clause (k) of Article VII;</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    Liens deemed to exist in connection with Permitted Investments in repurchase agreements;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(h)    Liens arising in connection with ordinary course non-speculative hedging arrangements and bankers’ Liens granted in the ordinary course of business relating to the operation of bank accounts maintained by the Borrower or its Subsidiaries or as part of letter of credit transactions and Liens granted in customary escrow arrangements on sales and acquisitions not prohibited by this Agreement;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any netting or setoff arrangement entered into by the Borrower or any of its Subsidiaries in the ordinary course of its banking arrangements or in connection with the cash pooling activities of the Borrower and its Subsidiaries entered into in the ordinary course of business;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(j)    customary Liens over goods, inventory or documents of title where the shipment or storage price is financed by a documentary credit;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(k)    Liens in favor of customs and revenue authorities arising as a matter of law to secure payment of customs duties in connection with the importation of goods;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    Liens constituting contractual rights of setoff under agreements with customers, in each case, entered into in the ordinary course of business;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    the filing of UCC financing statements solely as a precautionary measure in connection with operating leases or consignment of goods;</w:t>
      </w:r>
    </w:p>
    <w:p>
      <w:pPr>
        <w:pStyle w:val="TextBody"/>
        <w:bidi w:val="0"/>
        <w:spacing w:lineRule="auto" w:line="288" w:before="0" w:after="240"/>
        <w:jc w:val="left"/>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term “Permitted Encumbrances” shall not include any Lien securing Indebtedness for borrowed money.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Permitted Investments</w:t>
      </w:r>
      <w:r>
        <w:rPr>
          <w:color w:val="000000"/>
        </w:rPr>
        <w:t xml:space="preserve">” </w:t>
      </w:r>
      <w:r>
        <w:rPr>
          <w:rFonts w:ascii="Times New Roman;sans-serif" w:hAnsi="Times New Roman;sans-serif"/>
          <w:b w:val="false"/>
          <w:color w:val="000000"/>
          <w:sz w:val="22"/>
        </w:rPr>
        <w:t xml:space="preserve">means investments that comply with the Borrower’s Investment Policy as disclosed to the Administrative Agent on the Closing Date, as such Investment Policy may be modified from time to time by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Borrower’s Investment Policy shall not be modified in any manner that would or would reasonably be expected to materially and adversely affect the interests or remedies of the Administrative Agent or the Lenders without the prior written consent of the Administrative Agent.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or entity, including any corporation, limited liability company, trust, joint venture, association, company, partnership or Governmental Authority or other entity.</w:t>
      </w:r>
    </w:p>
    <w:p>
      <w:pPr>
        <w:pStyle w:val="TextBody"/>
        <w:bidi w:val="0"/>
        <w:spacing w:before="0" w:after="24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Plan</w:t>
      </w:r>
      <w:r>
        <w:rPr>
          <w:color w:val="000000"/>
        </w:rPr>
        <w:t xml:space="preserve">” </w:t>
      </w:r>
      <w:r>
        <w:rPr>
          <w:rFonts w:ascii="Times New Roman;sans-serif" w:hAnsi="Times New Roman;sans-serif"/>
          <w:b w:val="false"/>
          <w:color w:val="000000"/>
          <w:sz w:val="22"/>
        </w:rPr>
        <w:t>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Platform</w:t>
      </w:r>
      <w:r>
        <w:rPr>
          <w:color w:val="000000"/>
        </w:rPr>
        <w:t xml:space="preserve">” </w:t>
      </w:r>
      <w:r>
        <w:rPr>
          <w:rFonts w:ascii="Times New Roman;sans-serif" w:hAnsi="Times New Roman;sans-serif"/>
          <w:b w:val="false"/>
          <w:color w:val="000000"/>
          <w:sz w:val="22"/>
        </w:rPr>
        <w:t>has the meaning set forth in Section 5.01.</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Pricing Level</w:t>
      </w:r>
      <w:r>
        <w:rPr>
          <w:color w:val="000000"/>
        </w:rPr>
        <w:t xml:space="preserve">” </w:t>
      </w:r>
      <w:r>
        <w:rPr>
          <w:rFonts w:ascii="Times New Roman;sans-serif" w:hAnsi="Times New Roman;sans-serif"/>
          <w:b w:val="false"/>
          <w:color w:val="000000"/>
          <w:sz w:val="22"/>
        </w:rPr>
        <w:t>means the relevant level listed under the column “Pricing Level” in the grid in the definition of “Applicable Rate”.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primary obligor</w:t>
      </w:r>
      <w:r>
        <w:rPr>
          <w:color w:val="000000"/>
        </w:rPr>
        <w:t xml:space="preserve">” </w:t>
      </w:r>
      <w:r>
        <w:rPr>
          <w:rFonts w:ascii="Times New Roman;sans-serif" w:hAnsi="Times New Roman;sans-serif"/>
          <w:b w:val="false"/>
          <w:color w:val="000000"/>
          <w:sz w:val="22"/>
        </w:rPr>
        <w:t>has the meaning specified in the definition of Guarantee.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Pro Forma Basis</w:t>
      </w:r>
      <w:r>
        <w:rPr>
          <w:color w:val="000000"/>
        </w:rPr>
        <w:t xml:space="preserve">” </w:t>
      </w:r>
      <w:r>
        <w:rPr>
          <w:rFonts w:ascii="Times New Roman;sans-serif" w:hAnsi="Times New Roman;sans-serif"/>
          <w:b w:val="false"/>
          <w:color w:val="000000"/>
          <w:sz w:val="22"/>
        </w:rPr>
        <w:t>means, with respect to the calculation of the Leverage Ratio, that such calculation shall give pro forma effect to all dividends, distributions and redemptions of Equity Interests in the Borrower, creation or incurrence of Liens or Acquisitions, all issuances, incurrences or assumptions and all repayments of Indebtedness (with any such Indebtedness being deemed to be amortized over the applicable testing period in accordance with its terms) and all sales, transfers or other dispositions of any material assets outside the ordinary course of business that have occurred since the beginning of the four consecutive fiscal quarter period of the Borrower most-recently ended on or prior to such date for which financial statements have been or were required to be delivered pursuant to paragraph (a) or (b) of Section 5.01 as if they occurred on the first day of such four consecutive fiscal quarter period (including cost savings resulting from headcount reductions, facility closings or similar restructurings to the extent such cost savings (a) would be permitted to be reflected in pro forma financial information complying with the requirements of GAAP and Article XI of Regulation S-X under the Securities Act of 1933, as amended, as interpreted by the Staff of the SEC, and as certified by a Financial Officer or (b) have been realized or for which the steps necessary for realization have been taken, and as certified by a Financial Officer).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Projections</w:t>
      </w:r>
      <w:r>
        <w:rPr>
          <w:color w:val="000000"/>
        </w:rPr>
        <w:t xml:space="preserve">” </w:t>
      </w:r>
      <w:r>
        <w:rPr>
          <w:rFonts w:ascii="Times New Roman;sans-serif" w:hAnsi="Times New Roman;sans-serif"/>
          <w:b w:val="false"/>
          <w:color w:val="000000"/>
          <w:sz w:val="22"/>
        </w:rPr>
        <w:t>has the meaning specified in Section 3.11.</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Proposed Change</w:t>
      </w:r>
      <w:r>
        <w:rPr>
          <w:color w:val="000000"/>
        </w:rPr>
        <w:t xml:space="preserve">” </w:t>
      </w:r>
      <w:r>
        <w:rPr>
          <w:rFonts w:ascii="Times New Roman;sans-serif" w:hAnsi="Times New Roman;sans-serif"/>
          <w:b w:val="false"/>
          <w:color w:val="000000"/>
          <w:sz w:val="22"/>
        </w:rPr>
        <w:t>has the meaning assigned to such term in Section 9.02(c).</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Public Lender</w:t>
      </w:r>
      <w:r>
        <w:rPr>
          <w:color w:val="000000"/>
        </w:rPr>
        <w:t xml:space="preserve">” </w:t>
      </w:r>
      <w:r>
        <w:rPr>
          <w:rFonts w:ascii="Times New Roman;sans-serif" w:hAnsi="Times New Roman;sans-serif"/>
          <w:b w:val="false"/>
          <w:color w:val="000000"/>
          <w:sz w:val="22"/>
        </w:rPr>
        <w:t>has the meaning set forth in Section 5.01.</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Qualified Equity Interests</w:t>
      </w:r>
      <w:r>
        <w:rPr>
          <w:color w:val="000000"/>
        </w:rPr>
        <w:t xml:space="preserve">” </w:t>
      </w:r>
      <w:r>
        <w:rPr>
          <w:rFonts w:ascii="Times New Roman;sans-serif" w:hAnsi="Times New Roman;sans-serif"/>
          <w:b w:val="false"/>
          <w:color w:val="000000"/>
          <w:sz w:val="22"/>
        </w:rPr>
        <w:t>means Equity Interests of the Borrower other than Disqualified Equity Interests.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Rate Determination Date</w:t>
      </w:r>
      <w:r>
        <w:rPr>
          <w:color w:val="000000"/>
        </w:rPr>
        <w:t xml:space="preserve">” </w:t>
      </w:r>
      <w:r>
        <w:rPr>
          <w:rFonts w:ascii="Times New Roman;sans-serif" w:hAnsi="Times New Roman;sans-serif"/>
          <w:b w:val="false"/>
          <w:color w:val="000000"/>
          <w:sz w:val="22"/>
        </w:rPr>
        <w:t xml:space="preserve">means two (2) Business Days prior to the commencement of such Interest Period (or such other day as is generally treated as the rate fixing day by market practice in such interbank market, as determined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to the extent such market practice is not administratively feasible for the Administrative Agent, such other day as otherwise reasonably determined by the Administrative Agent).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Refinancing</w:t>
      </w:r>
      <w:r>
        <w:rPr>
          <w:color w:val="000000"/>
        </w:rPr>
        <w:t xml:space="preserve">” </w:t>
      </w:r>
      <w:r>
        <w:rPr>
          <w:rFonts w:ascii="Times New Roman;sans-serif" w:hAnsi="Times New Roman;sans-serif"/>
          <w:b w:val="false"/>
          <w:color w:val="000000"/>
          <w:sz w:val="22"/>
        </w:rPr>
        <w:t>has the meaning assigned to such term in Section 4.01(e).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has the meaning assigned to such term in Section 9.04(b)(iv).</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Regulated Subsidiary</w:t>
      </w:r>
      <w:r>
        <w:rPr>
          <w:color w:val="000000"/>
        </w:rPr>
        <w:t xml:space="preserve">” </w:t>
      </w:r>
      <w:r>
        <w:rPr>
          <w:rFonts w:ascii="Times New Roman;sans-serif" w:hAnsi="Times New Roman;sans-serif"/>
          <w:b w:val="false"/>
          <w:color w:val="000000"/>
          <w:sz w:val="22"/>
        </w:rPr>
        <w:t xml:space="preserve">means (i) any Broker-Dealer Subsidiary, (ii) any Subsidiary regulated as an insurance company or clearinghouse, and (iii) any Subsidiary whose dividends may be restricted, other activities undertaken by such Subsidiary may be limited or other regulatory actions with respect to such </w:t>
      </w:r>
    </w:p>
    <w:p>
      <w:pPr>
        <w:pStyle w:val="TextBody"/>
        <w:bidi w:val="0"/>
        <w:spacing w:before="0" w:after="24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Subsidiary may be taken, in each case by applicable Governmental Authorities in the event that such Subsidiary does not maintain capital at the level required by applicable Governmental Authorities.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Related Indemnified Person</w:t>
      </w:r>
      <w:r>
        <w:rPr>
          <w:color w:val="000000"/>
        </w:rPr>
        <w:t xml:space="preserve">” </w:t>
      </w:r>
      <w:r>
        <w:rPr>
          <w:rFonts w:ascii="Times New Roman;sans-serif" w:hAnsi="Times New Roman;sans-serif"/>
          <w:b w:val="false"/>
          <w:color w:val="000000"/>
          <w:sz w:val="22"/>
        </w:rPr>
        <w:t>has the meaning assigned to such term in Section 9.03(b).</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specified Person, such Person’s Affiliates and the respective directors, officers, employees, agents, trustees and advisors of such Person and such Person’s Affiliates.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Release</w:t>
      </w:r>
      <w:r>
        <w:rPr>
          <w:color w:val="000000"/>
        </w:rPr>
        <w:t xml:space="preserve">” </w:t>
      </w:r>
      <w:r>
        <w:rPr>
          <w:rFonts w:ascii="Times New Roman;sans-serif" w:hAnsi="Times New Roman;sans-serif"/>
          <w:b w:val="false"/>
          <w:color w:val="000000"/>
          <w:sz w:val="22"/>
        </w:rPr>
        <w:t>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 xml:space="preserve">means, at any time, Lenders having Revolving Exposures and, without duplication, unused Commitments, collectively, representing more than 50% of the aggregate Revolving Exposures and, without duplication, unused Commitments at such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unused Revolving Commitments and Revolving Exposure held or deemed held by, any Defaulting Lender shall be excluded for purposes of making a determination of Required Lenders.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Requirements of Law</w:t>
      </w:r>
      <w:r>
        <w:rPr>
          <w:color w:val="000000"/>
        </w:rPr>
        <w:t xml:space="preserve">” </w:t>
      </w:r>
      <w:r>
        <w:rPr>
          <w:rFonts w:ascii="Times New Roman;sans-serif" w:hAnsi="Times New Roman;sans-serif"/>
          <w:b w:val="false"/>
          <w:color w:val="000000"/>
          <w:sz w:val="22"/>
        </w:rPr>
        <w:t>means, with respect to any Person, any statute, law, treaty, rule, regulation, order, decree, writ, official guidance, injunction or determination of any arbitrator or court or other Governmental Authority, in each case applicable to or binding upon such Person or any of its property or to which such Person or any of its property is subject.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Rescindable Amount</w:t>
      </w:r>
      <w:r>
        <w:rPr>
          <w:color w:val="000000"/>
        </w:rPr>
        <w:t xml:space="preserve">” </w:t>
      </w:r>
      <w:r>
        <w:rPr>
          <w:rFonts w:ascii="Times New Roman;sans-serif" w:hAnsi="Times New Roman;sans-serif"/>
          <w:b w:val="false"/>
          <w:color w:val="000000"/>
          <w:sz w:val="22"/>
        </w:rPr>
        <w:t xml:space="preserve">shall have the meaning specified in Section 2.16(d).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Responsible Officer</w:t>
      </w:r>
      <w:r>
        <w:rPr>
          <w:color w:val="000000"/>
        </w:rPr>
        <w:t xml:space="preserve">” </w:t>
      </w:r>
      <w:r>
        <w:rPr>
          <w:rFonts w:ascii="Times New Roman;sans-serif" w:hAnsi="Times New Roman;sans-serif"/>
          <w:b w:val="false"/>
          <w:color w:val="000000"/>
          <w:sz w:val="22"/>
        </w:rPr>
        <w:t>means (a) the chief executive officer, president, executive vice president, chief financial officer, treasurer or assistant treasurer or other similar officer or Person performing similar functions of the Borrower, (b) as to any document delivered on the Closing Date (or, in connection with the closing of any amendment, amendment and restatement, supplement or other modification pursuant to which a certificate of a secretary or assistant secretary is required to be delivered), any secretary or assistant secretary of the Borrower, (c) solely for purposes of notices given under Article II, any other officer or employee of the Borrower expressly designated as a “Responsible Officer” for purposes of the Loan Documents by any other Responsible Officer in a written notice to the Administrative Agent and (d) any other officer or employee of the Borrower designated as a “Responsible Officer” for purposes of the Loan Documents in or pursuant to a written agreement between the Borrower and the Administrative Agent in connection with the Loan Documents.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Revaluation Date</w:t>
      </w:r>
      <w:r>
        <w:rPr>
          <w:color w:val="000000"/>
        </w:rPr>
        <w:t xml:space="preserve">” </w:t>
      </w:r>
      <w:r>
        <w:rPr>
          <w:rFonts w:ascii="Times New Roman;sans-serif" w:hAnsi="Times New Roman;sans-serif"/>
          <w:b w:val="false"/>
          <w:color w:val="000000"/>
          <w:sz w:val="22"/>
        </w:rPr>
        <w:t xml:space="preserve">means (a) with respect to any Loan, each of the following: (i) each date of a Borrowing of a Benchmark Loan denominated in an Alternative Currency other than Sterling, (ii) with respect to a Benchmark Loan denominated in Sterling, each Interest Payment Date, (iii) each date of a continuation of a Benchmark Loan denominated in an Alternative Currency pursuant to Section 2.03 and </w:t>
      </w:r>
    </w:p>
    <w:p>
      <w:pPr>
        <w:pStyle w:val="TextBody"/>
        <w:bidi w:val="0"/>
        <w:spacing w:before="0" w:after="24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(iv) such additional dates as the Administrative Agent shall reasonably determine or the Required Lenders shall reasonably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an Issuing Bank under any Letter of Credit denominated in an Alternative Currency and (iv) such additional dates as the Administrative Agent or an Issuing Bank shall reasonably determine or the Required Lenders shall reasonably require.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A Commitment</w:t>
      </w:r>
      <w:r>
        <w:rPr>
          <w:color w:val="000000"/>
        </w:rPr>
        <w:t xml:space="preserve">” </w:t>
      </w:r>
      <w:r>
        <w:rPr>
          <w:rFonts w:ascii="Times New Roman;sans-serif" w:hAnsi="Times New Roman;sans-serif"/>
          <w:b w:val="false"/>
          <w:color w:val="000000"/>
          <w:sz w:val="22"/>
        </w:rPr>
        <w:t xml:space="preserve">means, with respect to each Revolving A Lender, the commitment, if any, of such Revolving A Lender to make Revolving A Loans and to acquire participations in Tranche A Letters of Credit hereunder, expressed as an amount representing the maximum possible aggregate amount of such Revolving A Lender’s Revolving A Exposure hereunder, as such commitment may be (a) reduced from time to time pursuant to Section 2.06 and (b) reduced or increased from time to time pursuant to assignments by or to such Revolving A Lender pursuant to Section 9.04 or pursuant to any Incremental Facility Amendment. The initial amount of each Revolving A Lender’s Revolving A Commitment is set forth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to this Agreement, or in the Assignment and Assumption pursuant to which such Revolving A Lender shall have assumed its Revolving A Commitment, as the case may be. The initial aggregate amount of the Revolving A Lenders’ Revolving A Commitments is $905,000,000.</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A Exposure</w:t>
      </w:r>
      <w:r>
        <w:rPr>
          <w:color w:val="000000"/>
        </w:rPr>
        <w:t xml:space="preserve">” </w:t>
      </w:r>
      <w:r>
        <w:rPr>
          <w:rFonts w:ascii="Times New Roman;sans-serif" w:hAnsi="Times New Roman;sans-serif"/>
          <w:b w:val="false"/>
          <w:color w:val="000000"/>
          <w:sz w:val="22"/>
        </w:rPr>
        <w:t>means, with respect to any Revolving A Lender at any time, the sum of the Outstanding Amount of such Revolving A Lender’s Revolving A Loans and its Tranche A LC Exposure at such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A Facility</w:t>
      </w:r>
      <w:r>
        <w:rPr>
          <w:color w:val="000000"/>
        </w:rPr>
        <w:t xml:space="preserve">” </w:t>
      </w:r>
      <w:r>
        <w:rPr>
          <w:rFonts w:ascii="Times New Roman;sans-serif" w:hAnsi="Times New Roman;sans-serif"/>
          <w:b w:val="false"/>
          <w:color w:val="000000"/>
          <w:sz w:val="22"/>
        </w:rPr>
        <w:t>means the Revolving A Commitments and the extension of credit made hereunder by the Revolving A Lenders.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A Lender</w:t>
      </w:r>
      <w:r>
        <w:rPr>
          <w:color w:val="000000"/>
        </w:rPr>
        <w:t xml:space="preserve">” </w:t>
      </w:r>
      <w:r>
        <w:rPr>
          <w:rFonts w:ascii="Times New Roman;sans-serif" w:hAnsi="Times New Roman;sans-serif"/>
          <w:b w:val="false"/>
          <w:color w:val="000000"/>
          <w:sz w:val="22"/>
        </w:rPr>
        <w:t>means a Lender with a Revolving A Commitment or, if the Revolving A Commitments have terminated or expired, a Lender with Revolving A Exposure.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A Loan</w:t>
      </w:r>
      <w:r>
        <w:rPr>
          <w:color w:val="000000"/>
        </w:rPr>
        <w:t xml:space="preserve">” </w:t>
      </w:r>
      <w:r>
        <w:rPr>
          <w:rFonts w:ascii="Times New Roman;sans-serif" w:hAnsi="Times New Roman;sans-serif"/>
          <w:b w:val="false"/>
          <w:color w:val="000000"/>
          <w:sz w:val="22"/>
        </w:rPr>
        <w:t>means a Loan made pursuant to Section 2.01(i).</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Availability Period</w:t>
      </w:r>
      <w:r>
        <w:rPr>
          <w:color w:val="000000"/>
        </w:rPr>
        <w:t xml:space="preserve">” </w:t>
      </w:r>
      <w:r>
        <w:rPr>
          <w:rFonts w:ascii="Times New Roman;sans-serif" w:hAnsi="Times New Roman;sans-serif"/>
          <w:b w:val="false"/>
          <w:color w:val="000000"/>
          <w:sz w:val="22"/>
        </w:rPr>
        <w:t>means the period from and including the Closing Date to but excluding the earlier of the Maturity Date and the date of termination of the Revolving Commitments.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B Commitment</w:t>
      </w:r>
      <w:r>
        <w:rPr>
          <w:color w:val="000000"/>
        </w:rPr>
        <w:t xml:space="preserve">” </w:t>
      </w:r>
      <w:r>
        <w:rPr>
          <w:rFonts w:ascii="Times New Roman;sans-serif" w:hAnsi="Times New Roman;sans-serif"/>
          <w:b w:val="false"/>
          <w:color w:val="000000"/>
          <w:sz w:val="22"/>
        </w:rPr>
        <w:t xml:space="preserve">means, with respect to each Revolving B Lender, the commitment, if any, of such Revolving B Lender to make Revolving B Loans and to acquire participations in Tranche B Letters of Credit hereunder, expressed as an amount representing the maximum possible aggregate amount of such Revolving B Lender’s Revolving B Exposure hereunder, as such commitment may be (a) reduced from time to time pursuant to Section 2.06 and (b) reduced or increased from time to time pursuant to assignments by or to such Revolving B Lender pursuant to Section 9.04 or pursuant to any Incremental Facility Amendment. The initial amount of each Revolving B Lender’s Revolving B Commitment is set forth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to this Agreement, or in the Assignment and Assumption pursuant to which such Revolving B Lender shall have assumed its Revolving B Commitment, as the case may be. The initial aggregate amount of the Revolving B Lenders’ Revolving B Commitments is $345,000,000.</w:t>
      </w:r>
    </w:p>
    <w:p>
      <w:pPr>
        <w:pStyle w:val="TextBody"/>
        <w:bidi w:val="0"/>
        <w:spacing w:before="0" w:after="24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B Exposure</w:t>
      </w:r>
      <w:r>
        <w:rPr>
          <w:color w:val="000000"/>
        </w:rPr>
        <w:t xml:space="preserve">” </w:t>
      </w:r>
      <w:r>
        <w:rPr>
          <w:rFonts w:ascii="Times New Roman;sans-serif" w:hAnsi="Times New Roman;sans-serif"/>
          <w:b w:val="false"/>
          <w:color w:val="000000"/>
          <w:sz w:val="22"/>
        </w:rPr>
        <w:t>means, with respect to any Revolving B Lender at any time, the sum of the Outstanding Amount of such Revolving B Lender’s Revolving B Loans and its Tranche B LC Exposure at such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B Facility</w:t>
      </w:r>
      <w:r>
        <w:rPr>
          <w:color w:val="000000"/>
        </w:rPr>
        <w:t xml:space="preserve">” </w:t>
      </w:r>
      <w:r>
        <w:rPr>
          <w:rFonts w:ascii="Times New Roman;sans-serif" w:hAnsi="Times New Roman;sans-serif"/>
          <w:b w:val="false"/>
          <w:color w:val="000000"/>
          <w:sz w:val="22"/>
        </w:rPr>
        <w:t>means the Revolving B Commitments and the extension of credit made hereunder by the Revolving B Lenders.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B Lender</w:t>
      </w:r>
      <w:r>
        <w:rPr>
          <w:color w:val="000000"/>
        </w:rPr>
        <w:t xml:space="preserve">” </w:t>
      </w:r>
      <w:r>
        <w:rPr>
          <w:rFonts w:ascii="Times New Roman;sans-serif" w:hAnsi="Times New Roman;sans-serif"/>
          <w:b w:val="false"/>
          <w:color w:val="000000"/>
          <w:sz w:val="22"/>
        </w:rPr>
        <w:t>means a Lender with a Revolving B Commitment or, if the Revolving B Commitments have terminated or expired, a Lender with Revolving B Exposure.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B Loan</w:t>
      </w:r>
      <w:r>
        <w:rPr>
          <w:color w:val="000000"/>
        </w:rPr>
        <w:t xml:space="preserve">” </w:t>
      </w:r>
      <w:r>
        <w:rPr>
          <w:rFonts w:ascii="Times New Roman;sans-serif" w:hAnsi="Times New Roman;sans-serif"/>
          <w:b w:val="false"/>
          <w:color w:val="000000"/>
          <w:sz w:val="22"/>
        </w:rPr>
        <w:t>means a Loan made pursuant to Section 2.01(ii).</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Commitment</w:t>
      </w:r>
      <w:r>
        <w:rPr>
          <w:color w:val="000000"/>
        </w:rPr>
        <w:t xml:space="preserve">” </w:t>
      </w:r>
      <w:r>
        <w:rPr>
          <w:rFonts w:ascii="Times New Roman;sans-serif" w:hAnsi="Times New Roman;sans-serif"/>
          <w:b w:val="false"/>
          <w:color w:val="000000"/>
          <w:sz w:val="22"/>
        </w:rPr>
        <w:t>means a Revolving A Commitment and/or a Revolving B Commitment, as the context requires.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Exposure</w:t>
      </w:r>
      <w:r>
        <w:rPr>
          <w:color w:val="000000"/>
        </w:rPr>
        <w:t xml:space="preserve">” </w:t>
      </w:r>
      <w:r>
        <w:rPr>
          <w:rFonts w:ascii="Times New Roman;sans-serif" w:hAnsi="Times New Roman;sans-serif"/>
          <w:b w:val="false"/>
          <w:color w:val="000000"/>
          <w:sz w:val="22"/>
        </w:rPr>
        <w:t>means the Revolving A Exposure and/or the Revolving B Exposure, as the context requires.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Lender</w:t>
      </w:r>
      <w:r>
        <w:rPr>
          <w:color w:val="000000"/>
        </w:rPr>
        <w:t xml:space="preserve">” </w:t>
      </w:r>
      <w:r>
        <w:rPr>
          <w:rFonts w:ascii="Times New Roman;sans-serif" w:hAnsi="Times New Roman;sans-serif"/>
          <w:b w:val="false"/>
          <w:color w:val="000000"/>
          <w:sz w:val="22"/>
        </w:rPr>
        <w:t xml:space="preserve">means a Revolving A Lender and/or a Revolving B Lender, as the context requires.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Revolving Loan</w:t>
      </w:r>
      <w:r>
        <w:rPr>
          <w:color w:val="000000"/>
        </w:rPr>
        <w:t xml:space="preserve">” </w:t>
      </w:r>
      <w:r>
        <w:rPr>
          <w:rFonts w:ascii="Times New Roman;sans-serif" w:hAnsi="Times New Roman;sans-serif"/>
          <w:b w:val="false"/>
          <w:color w:val="000000"/>
          <w:sz w:val="22"/>
        </w:rPr>
        <w:t>means a Revolving A Loan and/or a Revolving B Loan, as the context requires.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means Standard &amp; Poor’s Financial Services LLC, a subsidiary of S&amp;P Global Inc., and any successor thereto.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Same Day Funds</w:t>
      </w:r>
      <w:r>
        <w:rPr>
          <w:color w:val="000000"/>
        </w:rPr>
        <w:t xml:space="preserve">” </w:t>
      </w:r>
      <w:r>
        <w:rPr>
          <w:rFonts w:ascii="Times New Roman;sans-serif" w:hAnsi="Times New Roman;sans-serif"/>
          <w:b w:val="false"/>
          <w:color w:val="000000"/>
          <w:sz w:val="22"/>
        </w:rPr>
        <w:t>means (a) with respect to disbursements and payments in Dollars, immediately available funds, and (b) with respect to disbursements and payments in an Alternative Currency, same day or other funds as may be determined by the Administrative Agent or the applicable Issuing Bank, as the case may be, to be customary in the place of disbursement or payment for the settlement of international banking transactions in the relevant Alternative Currency.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means any sanction administered or enforced by the United States federal government (including without limitation, OFAC), the United Nations Security Council, the European Union, His Majesty’s Treasury (“</w:t>
      </w:r>
      <w:r>
        <w:rPr>
          <w:rFonts w:ascii="Times New Roman;sans-serif" w:hAnsi="Times New Roman;sans-serif"/>
          <w:b w:val="false"/>
          <w:color w:val="000000"/>
          <w:sz w:val="22"/>
          <w:u w:val="single"/>
        </w:rPr>
        <w:t>HMT</w:t>
      </w:r>
      <w:r>
        <w:rPr>
          <w:color w:val="000000"/>
        </w:rPr>
        <w:t>”</w:t>
      </w:r>
      <w:r>
        <w:rPr>
          <w:rFonts w:ascii="Times New Roman;sans-serif" w:hAnsi="Times New Roman;sans-serif"/>
          <w:b w:val="false"/>
          <w:color w:val="000000"/>
          <w:sz w:val="22"/>
        </w:rPr>
        <w:t xml:space="preserve">) and, solely with respect to the definition of “Designated Jurisdiction,” the government of Canada (including Canadian Economic Sanctions and Export Control Laws), the Swedish Financial Supervisory Authority and European Economic Area.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Screen Rate</w:t>
      </w:r>
      <w:r>
        <w:rPr>
          <w:color w:val="000000"/>
        </w:rPr>
        <w:t xml:space="preserve">” </w:t>
      </w:r>
      <w:r>
        <w:rPr>
          <w:rFonts w:ascii="Times New Roman;sans-serif" w:hAnsi="Times New Roman;sans-serif"/>
          <w:b w:val="false"/>
          <w:color w:val="000000"/>
          <w:sz w:val="22"/>
        </w:rPr>
        <w:t>means the Applicable Reference Rate quote for an Applicable Currency on the applicable screen page the Administrative Agent designates to determine such Applicable Reference Rate for such Applicable Currency (or such other commercially available source providing such quotations for such Applicable Currency as may be designated by the Administrative Agent from time to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SEC</w:t>
      </w:r>
      <w:r>
        <w:rPr>
          <w:color w:val="000000"/>
        </w:rPr>
        <w:t xml:space="preserve">” </w:t>
      </w:r>
      <w:r>
        <w:rPr>
          <w:rFonts w:ascii="Times New Roman;sans-serif" w:hAnsi="Times New Roman;sans-serif"/>
          <w:b w:val="false"/>
          <w:color w:val="000000"/>
          <w:sz w:val="22"/>
        </w:rPr>
        <w:t>means the Securities and Exchange Commission or any Governmental Authority succeeding to any of its principal functions.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Senior Notes Indenture</w:t>
      </w:r>
      <w:r>
        <w:rPr>
          <w:color w:val="000000"/>
        </w:rPr>
        <w:t xml:space="preserve">” </w:t>
      </w:r>
      <w:r>
        <w:rPr>
          <w:rFonts w:ascii="Times New Roman;sans-serif" w:hAnsi="Times New Roman;sans-serif"/>
          <w:b w:val="false"/>
          <w:color w:val="000000"/>
          <w:sz w:val="22"/>
        </w:rPr>
        <w:t xml:space="preserve">means the Indenture, dated as of June 7, 2013, between the Borrower and the trustee party thereto, as supplemented by the First Supplemental Indenture, dated as of June 7, </w:t>
      </w:r>
    </w:p>
    <w:p>
      <w:pPr>
        <w:pStyle w:val="TextBody"/>
        <w:bidi w:val="0"/>
        <w:spacing w:before="0" w:after="24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2013, the Second Supplemental Indenture, dated as of May 29, 2014, the Third Supplemental Indenture, dated as of May 20, 2016, the Fifth Supplemental Indenture, dated as of September 22, 2017, the Sixth Supplemental Indenture, dated as of April 1, 2019, the Seventh Supplemental Indenture, dated as of February 13, 2020, the Eighth Supplemental Indenture, dated as of April 28, 2020, the Ninth Supplemental Indenture, dated as of December 21, 2020, the Tenth Supplemental Indenture, dated as of December 21, 2020, the Eleventh Supplemental Indenture, dated as of December 21, 2020, the Twelfth Supplemental Indenture, dated as of July 30, 2021, and the Thirteenth Supplemental Indenture, dated as of March 7, 2022, in each case, as may be amended,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rPr>
        <w:t xml:space="preserve">means, with respect to any U.S. Government Securities Business Day, a rate per annum equal to the secured overnight financing rate for such U.S. Government Securities Business Day published by the SOFR Administrator on the SOFR Administrator’s Website.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SOFR Adjustment</w:t>
      </w:r>
      <w:r>
        <w:rPr>
          <w:color w:val="000000"/>
        </w:rPr>
        <w:t xml:space="preserve">” </w:t>
      </w:r>
      <w:r>
        <w:rPr>
          <w:rFonts w:ascii="Times New Roman;sans-serif" w:hAnsi="Times New Roman;sans-serif"/>
          <w:b w:val="false"/>
          <w:color w:val="000000"/>
          <w:sz w:val="22"/>
        </w:rPr>
        <w:t>means, with respect to Term SOFR or Daily Simple SOFR for any Interest Period, 0.10% per annum.</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SOFR Administrator</w:t>
      </w:r>
      <w:r>
        <w:rPr>
          <w:color w:val="000000"/>
        </w:rPr>
        <w:t xml:space="preserve">” </w:t>
      </w:r>
      <w:r>
        <w:rPr>
          <w:rFonts w:ascii="Times New Roman;sans-serif" w:hAnsi="Times New Roman;sans-serif"/>
          <w:b w:val="false"/>
          <w:color w:val="000000"/>
          <w:sz w:val="22"/>
        </w:rPr>
        <w:t>means the Federal Reserve Bank of New York (or a successor administrator of SOFR).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SOFR Administrator’s Website</w:t>
      </w:r>
      <w:r>
        <w:rPr>
          <w:color w:val="000000"/>
        </w:rPr>
        <w:t xml:space="preserve">” </w:t>
      </w:r>
      <w:r>
        <w:rPr>
          <w:rFonts w:ascii="Times New Roman;sans-serif" w:hAnsi="Times New Roman;sans-serif"/>
          <w:b w:val="false"/>
          <w:color w:val="000000"/>
          <w:sz w:val="22"/>
        </w:rPr>
        <w:t>means the website of the Federal Reserve Bank of New York, currently at http://www.newyorkfed.org, or any successor source for SOFR identified as such by the SOFR Administrator from time to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SONIA</w:t>
      </w:r>
      <w:r>
        <w:rPr>
          <w:color w:val="000000"/>
        </w:rPr>
        <w:t xml:space="preserve">” </w:t>
      </w:r>
      <w:r>
        <w:rPr>
          <w:rFonts w:ascii="Times New Roman;sans-serif" w:hAnsi="Times New Roman;sans-serif"/>
          <w:b w:val="false"/>
          <w:color w:val="000000"/>
          <w:sz w:val="22"/>
        </w:rPr>
        <w:t xml:space="preserve">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that, if such determination date is not a Business Day, SONIA means such rate that applied on the first Business Day immediately prior thereto.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Specified Acquisition</w:t>
      </w:r>
      <w:r>
        <w:rPr>
          <w:color w:val="000000"/>
        </w:rPr>
        <w:t xml:space="preserve">” </w:t>
      </w:r>
      <w:r>
        <w:rPr>
          <w:rFonts w:ascii="Times New Roman;sans-serif" w:hAnsi="Times New Roman;sans-serif"/>
          <w:b w:val="false"/>
          <w:color w:val="000000"/>
          <w:sz w:val="22"/>
        </w:rPr>
        <w:t>means the acquisition by the Borrower, directly or indirectly through one or more of its Subsidiaries, of Adenza Holdings, Inc.</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Specified Acquisition Closing</w:t>
      </w:r>
      <w:r>
        <w:rPr>
          <w:color w:val="000000"/>
        </w:rPr>
        <w:t xml:space="preserve">” </w:t>
      </w:r>
      <w:r>
        <w:rPr>
          <w:rFonts w:ascii="Times New Roman;sans-serif" w:hAnsi="Times New Roman;sans-serif"/>
          <w:b w:val="false"/>
          <w:color w:val="000000"/>
          <w:sz w:val="22"/>
        </w:rPr>
        <w:t>shall mean the time of the consummation of the Specified Acquisition.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Specified Exception</w:t>
      </w:r>
      <w:r>
        <w:rPr>
          <w:color w:val="000000"/>
        </w:rPr>
        <w:t xml:space="preserve">” </w:t>
      </w:r>
      <w:r>
        <w:rPr>
          <w:rFonts w:ascii="Times New Roman;sans-serif" w:hAnsi="Times New Roman;sans-serif"/>
          <w:b w:val="false"/>
          <w:color w:val="000000"/>
          <w:sz w:val="22"/>
        </w:rPr>
        <w:t>has the meaning specified in the definition of Material Subsidiary.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Specified Lender</w:t>
      </w:r>
      <w:r>
        <w:rPr>
          <w:color w:val="000000"/>
        </w:rPr>
        <w:t xml:space="preserve">” </w:t>
      </w:r>
      <w:r>
        <w:rPr>
          <w:rFonts w:ascii="Times New Roman;sans-serif" w:hAnsi="Times New Roman;sans-serif"/>
          <w:b w:val="false"/>
          <w:color w:val="000000"/>
          <w:sz w:val="22"/>
        </w:rPr>
        <w:t>has the meaning specified in Section 2.04(a).</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Spot Rate</w:t>
      </w:r>
      <w:r>
        <w:rPr>
          <w:color w:val="000000"/>
        </w:rPr>
        <w:t xml:space="preserve">” </w:t>
      </w:r>
      <w:r>
        <w:rPr>
          <w:rFonts w:ascii="Times New Roman;sans-serif" w:hAnsi="Times New Roman;sans-serif"/>
          <w:b w:val="false"/>
          <w:color w:val="000000"/>
          <w:sz w:val="22"/>
        </w:rPr>
        <w:t xml:space="preserve">for a currency means the rate determined by the Administrative Agent or an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Administrative Agent or an Issuing Bank may obtain such spot rate from another financial institution designated by the Administrative Agent or such Issuing Bank if the Person acting in such capacity does not have as of the date of determination a spot buying rate for any such currency;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an Issuing Bank may use such spot rate </w:t>
      </w:r>
    </w:p>
    <w:p>
      <w:pPr>
        <w:pStyle w:val="TextBody"/>
        <w:bidi w:val="0"/>
        <w:spacing w:before="0" w:after="24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quoted on the date as of which the foreign exchange computation is made in the case of any Letter of Credit denominated in an Alternative Currency.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Sterling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mean the lawful currency of the United Kingdom.</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STIBOR</w:t>
      </w:r>
      <w:r>
        <w:rPr>
          <w:color w:val="000000"/>
        </w:rPr>
        <w:t xml:space="preserve">” </w:t>
      </w:r>
      <w:r>
        <w:rPr>
          <w:rFonts w:ascii="Times New Roman;sans-serif" w:hAnsi="Times New Roman;sans-serif"/>
          <w:b w:val="false"/>
          <w:color w:val="000000"/>
          <w:sz w:val="22"/>
        </w:rPr>
        <w:t>has the meaning specified in the definition of Benchmark Rate.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Subsequent Acquisition Holiday</w:t>
      </w:r>
      <w:r>
        <w:rPr>
          <w:color w:val="000000"/>
        </w:rPr>
        <w:t xml:space="preserve">” </w:t>
      </w:r>
      <w:r>
        <w:rPr>
          <w:rFonts w:ascii="Times New Roman;sans-serif" w:hAnsi="Times New Roman;sans-serif"/>
          <w:b w:val="false"/>
          <w:color w:val="000000"/>
          <w:sz w:val="22"/>
        </w:rPr>
        <w:t xml:space="preserve">shall have the meaning specified in the second paragraph of </w:t>
      </w:r>
      <w:r>
        <w:rPr>
          <w:rFonts w:ascii="Times New Roman;sans-serif" w:hAnsi="Times New Roman;sans-serif"/>
          <w:b w:val="false"/>
          <w:color w:val="000000"/>
          <w:sz w:val="22"/>
          <w:u w:val="single"/>
        </w:rPr>
        <w:t>Section 6.06</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with respect to any Person (the “</w:t>
      </w:r>
      <w:r>
        <w:rPr>
          <w:rFonts w:ascii="Times New Roman;sans-serif" w:hAnsi="Times New Roman;sans-serif"/>
          <w:b w:val="false"/>
          <w:color w:val="000000"/>
          <w:sz w:val="22"/>
          <w:u w:val="single"/>
        </w:rPr>
        <w:t>parent</w:t>
      </w:r>
      <w:r>
        <w:rPr>
          <w:color w:val="000000"/>
        </w:rPr>
        <w:t>”</w:t>
      </w:r>
      <w:r>
        <w:rPr>
          <w:rFonts w:ascii="Times New Roman;sans-serif" w:hAnsi="Times New Roman;sans-serif"/>
          <w:b w:val="false"/>
          <w:color w:val="000000"/>
          <w:sz w:val="22"/>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any subsidiary of the Borrower.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Successful Completion Threshold</w:t>
      </w:r>
      <w:r>
        <w:rPr>
          <w:color w:val="000000"/>
        </w:rPr>
        <w:t xml:space="preserve">” </w:t>
      </w:r>
      <w:r>
        <w:rPr>
          <w:rFonts w:ascii="Times New Roman;sans-serif" w:hAnsi="Times New Roman;sans-serif"/>
          <w:b w:val="false"/>
          <w:color w:val="000000"/>
          <w:sz w:val="22"/>
        </w:rPr>
        <w:t xml:space="preserve">means, for any KPI Metric, the applicable “Successful Completion Threshold” for such KPI Metric set forth in </w:t>
      </w:r>
      <w:r>
        <w:rPr>
          <w:rFonts w:ascii="Times New Roman;sans-serif" w:hAnsi="Times New Roman;sans-serif"/>
          <w:b w:val="false"/>
          <w:color w:val="000000"/>
          <w:sz w:val="22"/>
          <w:u w:val="single"/>
        </w:rPr>
        <w:t>Schedule 2.20</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Successor Rate</w:t>
      </w:r>
      <w:r>
        <w:rPr>
          <w:color w:val="000000"/>
        </w:rPr>
        <w:t xml:space="preserve">” </w:t>
      </w:r>
      <w:r>
        <w:rPr>
          <w:rFonts w:ascii="Times New Roman;sans-serif" w:hAnsi="Times New Roman;sans-serif"/>
          <w:b w:val="false"/>
          <w:color w:val="000000"/>
          <w:sz w:val="22"/>
        </w:rPr>
        <w:t xml:space="preserve">has the meaning specified in Section 2.12(c).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Suppliers with SBT</w:t>
      </w:r>
      <w:r>
        <w:rPr>
          <w:color w:val="000000"/>
        </w:rPr>
        <w:t xml:space="preserve">” </w:t>
      </w:r>
      <w:r>
        <w:rPr>
          <w:rFonts w:ascii="Times New Roman;sans-serif" w:hAnsi="Times New Roman;sans-serif"/>
          <w:b w:val="false"/>
          <w:color w:val="000000"/>
          <w:sz w:val="22"/>
        </w:rPr>
        <w:t xml:space="preserve">means providers of good and services to the Borrower that have set or committed to the setting of science-based targets (“SBT”) in line with SBTi’s guidance on “supplier or customer engagement targets” as defined in Target Validation Protocol for Near-Term Targets.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Sustainability Metric Assurance Provider</w:t>
      </w:r>
      <w:r>
        <w:rPr>
          <w:color w:val="000000"/>
        </w:rPr>
        <w:t xml:space="preserve">” </w:t>
      </w:r>
      <w:r>
        <w:rPr>
          <w:rFonts w:ascii="Times New Roman;sans-serif" w:hAnsi="Times New Roman;sans-serif"/>
          <w:b w:val="false"/>
          <w:color w:val="000000"/>
          <w:sz w:val="22"/>
        </w:rPr>
        <w:t xml:space="preserve">means (a) LRQA Group Limited or (b) any other reviewer designated as the “Sustainability Metrics Assurance Provider” designated from time to time by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replacement Sustainability Metrics Assurance Provider shall be (i) a qualified external reviewer (other than an Affiliate of the Borrower), with relevant expertise, such as an auditor, environmental consultant and/or independent ratings agency of recognized national standing or (ii) another firm designated by the Borrower and approved by the Administrative Agent and the Required Lenders.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Sustainability Coordinator</w:t>
      </w:r>
      <w:r>
        <w:rPr>
          <w:color w:val="000000"/>
        </w:rPr>
        <w:t xml:space="preserve">” </w:t>
      </w:r>
      <w:r>
        <w:rPr>
          <w:rFonts w:ascii="Times New Roman;sans-serif" w:hAnsi="Times New Roman;sans-serif"/>
          <w:b w:val="false"/>
          <w:color w:val="000000"/>
          <w:sz w:val="22"/>
        </w:rPr>
        <w:t>means BofA Securities, Inc. in its capacity as a sustainability coordinator.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Sustainability Facility Fee Adjustment</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val="false"/>
          <w:color w:val="0000FF"/>
          <w:sz w:val="22"/>
          <w:u w:val="single"/>
        </w:rPr>
        <w:t xml:space="preserve">subject to the last sentence of Section 2.20(a), </w:t>
      </w:r>
      <w:r>
        <w:rPr>
          <w:rFonts w:ascii="Times New Roman;sans-serif" w:hAnsi="Times New Roman;sans-serif"/>
          <w:b w:val="false"/>
          <w:color w:val="000000"/>
          <w:sz w:val="22"/>
        </w:rPr>
        <w:t xml:space="preserve">with respect to any Sustainability Pricing Certificate </w:t>
      </w:r>
      <w:r>
        <w:rPr>
          <w:rFonts w:ascii="Times New Roman;sans-serif" w:hAnsi="Times New Roman;sans-serif"/>
          <w:b w:val="false"/>
          <w:color w:val="0000FF"/>
          <w:sz w:val="22"/>
          <w:u w:val="single"/>
        </w:rPr>
        <w:t>:</w:t>
      </w:r>
    </w:p>
    <w:p>
      <w:pPr>
        <w:pStyle w:val="TextBody"/>
        <w:bidi w:val="0"/>
        <w:spacing w:lineRule="auto" w:line="288" w:before="0" w:after="240"/>
        <w:ind w:left="0" w:right="0" w:firstLine="720"/>
        <w:jc w:val="left"/>
        <w:rPr/>
      </w:pPr>
      <w:r>
        <w:rPr>
          <w:rFonts w:ascii="Times New Roman;sans-serif" w:hAnsi="Times New Roman;sans-serif"/>
          <w:b w:val="false"/>
          <w:color w:val="0000FF"/>
          <w:sz w:val="22"/>
          <w:u w:val="single"/>
        </w:rPr>
        <w:t>(I)     </w:t>
      </w:r>
      <w:r>
        <w:rPr>
          <w:rFonts w:ascii="Times New Roman;sans-serif" w:hAnsi="Times New Roman;sans-serif"/>
          <w:b w:val="false"/>
          <w:color w:val="000000"/>
          <w:sz w:val="22"/>
        </w:rPr>
        <w:t xml:space="preserve">for </w:t>
      </w:r>
      <w:r>
        <w:rPr>
          <w:rFonts w:ascii="Times New Roman;sans-serif" w:hAnsi="Times New Roman;sans-serif"/>
          <w:b w:val="false"/>
          <w:strike/>
          <w:color w:val="FF0000"/>
          <w:sz w:val="22"/>
        </w:rPr>
        <w:t>any</w:t>
      </w:r>
      <w:r>
        <w:rPr>
          <w:rFonts w:ascii="Times New Roman;sans-serif" w:hAnsi="Times New Roman;sans-serif"/>
          <w:b w:val="false"/>
          <w:color w:val="0000FF"/>
          <w:sz w:val="22"/>
          <w:u w:val="single"/>
        </w:rPr>
        <w:t>the</w:t>
      </w:r>
      <w:r>
        <w:rPr>
          <w:color w:val="000000"/>
        </w:rPr>
        <w:t xml:space="preserve"> </w:t>
      </w:r>
      <w:r>
        <w:rPr>
          <w:rFonts w:ascii="Times New Roman;sans-serif" w:hAnsi="Times New Roman;sans-serif"/>
          <w:b w:val="false"/>
          <w:color w:val="000000"/>
          <w:sz w:val="22"/>
        </w:rPr>
        <w:t>calendar year</w:t>
      </w:r>
      <w:r>
        <w:rPr>
          <w:rFonts w:ascii="Times New Roman;sans-serif" w:hAnsi="Times New Roman;sans-serif"/>
          <w:b w:val="false"/>
          <w:strike/>
          <w:color w:val="FF0000"/>
          <w:sz w:val="22"/>
        </w:rPr>
        <w:t>,</w:t>
      </w:r>
      <w:r>
        <w:rPr>
          <w:color w:val="0000FF"/>
          <w:u w:val="single"/>
        </w:rPr>
        <w:t xml:space="preserve"> </w:t>
      </w:r>
      <w:r>
        <w:rPr>
          <w:rFonts w:ascii="Times New Roman;sans-serif" w:hAnsi="Times New Roman;sans-serif"/>
          <w:b w:val="false"/>
          <w:color w:val="0000FF"/>
          <w:sz w:val="22"/>
          <w:u w:val="single"/>
        </w:rPr>
        <w:t>ended December 31, 2023,</w:t>
      </w:r>
      <w:r>
        <w:rPr>
          <w:color w:val="000000"/>
        </w:rPr>
        <w:t xml:space="preserve"> </w:t>
      </w:r>
      <w:r>
        <w:rPr>
          <w:rFonts w:ascii="Times New Roman;sans-serif" w:hAnsi="Times New Roman;sans-serif"/>
          <w:b w:val="false"/>
          <w:color w:val="000000"/>
          <w:sz w:val="22"/>
        </w:rPr>
        <w:t xml:space="preserve">for any period between Sustainability Pricing Adjustment Dates, a percentage per annum equal to (a) negative 0.01% if each KPI Metric meets or exceeds the Successful Completion Threshold for such KPI Metric as set forth in the KPI Metrics Report for such calendar year, (b) negative 0.005% if (i) one of the </w:t>
      </w:r>
    </w:p>
    <w:p>
      <w:pPr>
        <w:pStyle w:val="TextBody"/>
        <w:bidi w:val="0"/>
        <w:spacing w:before="0" w:after="24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KPI Metrics meets or exceeds the Successful Completion Threshold for such KPI Metric and (ii) one of the KPI Metrics meets or exceeds the Unsuccessful Completion Threshold for such KPI Metric but is less than the Successful Completion Threshold for such KPI Metric, in each case, as set forth in the KPI Metrics Report for such calendar year, (c) 0.00% if (i) each KPI Metric meets or exceeds the Unsuccessful Completion Threshold for such KPI Metric but is less than the Successful Completion Threshold for such KPI Metric, or (ii)(A) one of the KPI Metrics meets or exceeds the Successful Completion Threshold for such KPI Metric and (B) one of the KPI Metrics is below the Unsuccessful Completion Threshold for such KPI Metric, in each case, as set forth in the KPI Metrics Report for such calendar year, (d) positive 0.005% if (i) one of the KPI Metrics is below the Unsuccessful Completion Threshold for such KPI Metric and (ii) one of the KPI Metrics meets or exceeds the Unsuccessful Completion Threshold for such KPI Metric but is less than the Successful Completion Threshold for such KPI Metric, in each case, as set forth in the KPI Metrics Report for such calendar year and (e) positive 0.01% if each KPI Metric is below the Unsuccessful Completion Threshold for such KPI Metric as set forth in the KPI Metrics Report for such calendar year</w:t>
      </w:r>
      <w:r>
        <w:rPr>
          <w:rFonts w:ascii="Times New Roman;sans-serif" w:hAnsi="Times New Roman;sans-serif"/>
          <w:b w:val="false"/>
          <w:color w:val="0000FF"/>
          <w:sz w:val="22"/>
          <w:u w:val="single"/>
        </w:rPr>
        <w:t xml:space="preserve">; and </w:t>
      </w:r>
    </w:p>
    <w:p>
      <w:pPr>
        <w:pStyle w:val="TextBody"/>
        <w:bidi w:val="0"/>
        <w:spacing w:lineRule="auto" w:line="288" w:before="0" w:after="240"/>
        <w:ind w:left="0" w:right="0" w:firstLine="720"/>
        <w:jc w:val="left"/>
        <w:rPr/>
      </w:pPr>
      <w:r>
        <w:rPr>
          <w:rFonts w:ascii="Times New Roman;sans-serif" w:hAnsi="Times New Roman;sans-serif"/>
          <w:b w:val="false"/>
          <w:color w:val="0000FF"/>
          <w:sz w:val="22"/>
          <w:u w:val="single"/>
        </w:rPr>
        <w:t>(II)     for the calendar year ending December 31, 2024, and for each calendar year thereafter, for any period between Sustainability Pricing Adjustment Dates, a percentage per annum equal to (a) negative 0.005% if the KPI Metric meets or exceeds the Successful Completion Threshold for the KPI Metric, (b) 0.00% if the KPI Metric meets or exceeds the Unsuccessful Completion Threshold for the KPI Metric but is less than the Successful Completion Threshold for the KPI Metric, or (c) positive 0.005% if the KPI Metric is below the Unsuccessful Completion Threshold for the KPI Metric, in each case of subclauses (a) through (c), as set forth in the KPI Metrics Report for such calendar year</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Sustainability Pricing Adjustment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2.20(a)</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Sustainability Pricing Certificate</w:t>
      </w:r>
      <w:r>
        <w:rPr>
          <w:color w:val="000000"/>
        </w:rPr>
        <w:t xml:space="preserve">” </w:t>
      </w:r>
      <w:r>
        <w:rPr>
          <w:rFonts w:ascii="Times New Roman;sans-serif" w:hAnsi="Times New Roman;sans-serif"/>
          <w:b w:val="false"/>
          <w:color w:val="000000"/>
          <w:sz w:val="22"/>
        </w:rPr>
        <w:t xml:space="preserve">means a certificate delivered in connection with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 xml:space="preserve">and substantially in the form of </w:t>
      </w:r>
      <w:r>
        <w:rPr>
          <w:rFonts w:ascii="Times New Roman;sans-serif" w:hAnsi="Times New Roman;sans-serif"/>
          <w:b w:val="false"/>
          <w:color w:val="000000"/>
          <w:sz w:val="22"/>
          <w:u w:val="single"/>
        </w:rPr>
        <w:t>Exhibit E</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Sustainability Pricing Certificate Inaccuracy</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2.20(d)</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Sustainability Pricing Certificate Inaccuracy Payment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2.20(e)</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Sustainability Rate Adjustment</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val="false"/>
          <w:color w:val="0000FF"/>
          <w:sz w:val="22"/>
          <w:u w:val="single"/>
        </w:rPr>
        <w:t xml:space="preserve">subject to the last sentence of Section 2.20(a), </w:t>
      </w:r>
      <w:r>
        <w:rPr>
          <w:rFonts w:ascii="Times New Roman;sans-serif" w:hAnsi="Times New Roman;sans-serif"/>
          <w:b w:val="false"/>
          <w:color w:val="000000"/>
          <w:sz w:val="22"/>
        </w:rPr>
        <w:t xml:space="preserve">with respect to any Sustainability Pricing Certificate </w:t>
      </w:r>
      <w:r>
        <w:rPr>
          <w:rFonts w:ascii="Times New Roman;sans-serif" w:hAnsi="Times New Roman;sans-serif"/>
          <w:b w:val="false"/>
          <w:color w:val="0000FF"/>
          <w:sz w:val="22"/>
          <w:u w:val="single"/>
        </w:rPr>
        <w:t>:</w:t>
      </w:r>
    </w:p>
    <w:p>
      <w:pPr>
        <w:pStyle w:val="TextBody"/>
        <w:bidi w:val="0"/>
        <w:spacing w:lineRule="auto" w:line="288" w:before="0" w:after="240"/>
        <w:ind w:left="0" w:right="0" w:firstLine="720"/>
        <w:jc w:val="left"/>
        <w:rPr/>
      </w:pPr>
      <w:r>
        <w:rPr>
          <w:rFonts w:ascii="Times New Roman;sans-serif" w:hAnsi="Times New Roman;sans-serif"/>
          <w:b w:val="false"/>
          <w:color w:val="0000FF"/>
          <w:sz w:val="22"/>
          <w:u w:val="single"/>
        </w:rPr>
        <w:t>(I)    </w:t>
      </w:r>
      <w:r>
        <w:rPr>
          <w:rFonts w:ascii="Times New Roman;sans-serif" w:hAnsi="Times New Roman;sans-serif"/>
          <w:b w:val="false"/>
          <w:color w:val="000000"/>
          <w:sz w:val="22"/>
        </w:rPr>
        <w:t xml:space="preserve">for </w:t>
      </w:r>
      <w:r>
        <w:rPr>
          <w:rFonts w:ascii="Times New Roman;sans-serif" w:hAnsi="Times New Roman;sans-serif"/>
          <w:b w:val="false"/>
          <w:strike/>
          <w:color w:val="FF0000"/>
          <w:sz w:val="22"/>
        </w:rPr>
        <w:t>any</w:t>
      </w:r>
      <w:r>
        <w:rPr>
          <w:rFonts w:ascii="Times New Roman;sans-serif" w:hAnsi="Times New Roman;sans-serif"/>
          <w:b w:val="false"/>
          <w:color w:val="0000FF"/>
          <w:sz w:val="22"/>
          <w:u w:val="single"/>
        </w:rPr>
        <w:t>the</w:t>
      </w:r>
      <w:r>
        <w:rPr>
          <w:color w:val="000000"/>
        </w:rPr>
        <w:t xml:space="preserve"> </w:t>
      </w:r>
      <w:r>
        <w:rPr>
          <w:rFonts w:ascii="Times New Roman;sans-serif" w:hAnsi="Times New Roman;sans-serif"/>
          <w:b w:val="false"/>
          <w:color w:val="000000"/>
          <w:sz w:val="22"/>
        </w:rPr>
        <w:t>calendar year</w:t>
      </w:r>
      <w:r>
        <w:rPr>
          <w:rFonts w:ascii="Times New Roman;sans-serif" w:hAnsi="Times New Roman;sans-serif"/>
          <w:b w:val="false"/>
          <w:strike/>
          <w:color w:val="FF0000"/>
          <w:sz w:val="22"/>
        </w:rPr>
        <w:t>,</w:t>
      </w:r>
      <w:r>
        <w:rPr>
          <w:color w:val="0000FF"/>
          <w:u w:val="single"/>
        </w:rPr>
        <w:t xml:space="preserve"> </w:t>
      </w:r>
      <w:r>
        <w:rPr>
          <w:rFonts w:ascii="Times New Roman;sans-serif" w:hAnsi="Times New Roman;sans-serif"/>
          <w:b w:val="false"/>
          <w:color w:val="0000FF"/>
          <w:sz w:val="22"/>
          <w:u w:val="single"/>
        </w:rPr>
        <w:t>ended December 31, 2023,</w:t>
      </w:r>
      <w:r>
        <w:rPr>
          <w:color w:val="000000"/>
        </w:rPr>
        <w:t xml:space="preserve"> </w:t>
      </w:r>
      <w:r>
        <w:rPr>
          <w:rFonts w:ascii="Times New Roman;sans-serif" w:hAnsi="Times New Roman;sans-serif"/>
          <w:b w:val="false"/>
          <w:color w:val="000000"/>
          <w:sz w:val="22"/>
        </w:rPr>
        <w:t xml:space="preserve">for any period between Sustainability Pricing Adjustment Dates, a percentage per annum equal to (a) negative 0.04% if each KPI Metric meets or exceeds the Successful Completion Threshold for such KPI Metric as set forth in the KPI Metrics Report for such calendar year, (b) negative 0.02% if (i) one of the KPI Metrics meets or exceeds the Successful Completion Threshold for such KPI Metric and (ii) one of the KPI Metrics meets or exceeds the Unsuccessful Completion Threshold for such KPI Metric but is less than the Successful Completion Threshold for such KPI Metric, in each case, as set forth in the KPI Metrics Report for such calendar year, (c) 0.00% if (i) each KPI Metric meets or exceeds the Unsuccessful Completion Threshold for such KPI Metric but is less than the Successful Completion Threshold for such KPI Metric, or (ii)(A) one of the KPI Metrics meets or exceeds the Successful Completion Threshold for such KPI Metric and (B) one of the KPI </w:t>
      </w:r>
    </w:p>
    <w:p>
      <w:pPr>
        <w:pStyle w:val="TextBody"/>
        <w:bidi w:val="0"/>
        <w:spacing w:before="0" w:after="24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Metrics is below the Unsuccessful Completion Threshold for such KPI Metric, in each case, as set forth in the KPI Metrics Report for such calendar year, (d) positive 0.02% if (i) one of the KPI Metrics is below the Unsuccessful Completion Threshold for such KPI Metric and (ii) one of the KPI Metrics meets or exceeds the Unsuccessful Completion Threshold for such KPI Metric but is less than the Successful Completion Threshold for such KPI Metric, in each case, as set forth in the KPI Metrics Report for such calendar year and (e) positive 0.04% if each KPI Metric is below the Unsuccessful Completion Threshold for such KPI Metric as set forth in the KPI Metrics Report for such calendar year</w:t>
      </w:r>
      <w:r>
        <w:rPr>
          <w:rFonts w:ascii="Times New Roman;sans-serif" w:hAnsi="Times New Roman;sans-serif"/>
          <w:b w:val="false"/>
          <w:color w:val="0000FF"/>
          <w:sz w:val="22"/>
          <w:u w:val="single"/>
        </w:rPr>
        <w:t>; and</w:t>
      </w:r>
    </w:p>
    <w:p>
      <w:pPr>
        <w:pStyle w:val="TextBody"/>
        <w:bidi w:val="0"/>
        <w:spacing w:lineRule="auto" w:line="288" w:before="0" w:after="240"/>
        <w:ind w:left="0" w:right="0" w:firstLine="720"/>
        <w:jc w:val="left"/>
        <w:rPr/>
      </w:pPr>
      <w:r>
        <w:rPr>
          <w:rFonts w:ascii="Times New Roman;sans-serif" w:hAnsi="Times New Roman;sans-serif"/>
          <w:b w:val="false"/>
          <w:color w:val="0000FF"/>
          <w:sz w:val="22"/>
          <w:u w:val="single"/>
        </w:rPr>
        <w:t>(II)    for the calendar year ending December 31, 2024, and for each calendar year thereafter, for any period between Sustainability Pricing Adjustment Dates, a percentage per annum equal to (a) negative 0.02% if the KPI Metric meets or exceeds the Successful Completion Threshold for the KPI Metric, (b) 0.00% if the KPI Metric meets or exceeds the Unsuccessful Completion Threshold for the KPI Metric but is less than the Successful Completion Threshold for the KPI Metric, or (c) positive 0.02% if the KPI Metric is below the Unsuccessful Completion Threshold for the KPI Metric, in each case of subclauses (a) through (c), as set forth in the KPI Metrics Report for such calendar year</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Sustainability Recalculation Transaction</w:t>
      </w:r>
      <w:r>
        <w:rPr>
          <w:color w:val="000000"/>
        </w:rPr>
        <w:t xml:space="preserve">” </w:t>
      </w:r>
      <w:r>
        <w:rPr>
          <w:rFonts w:ascii="Times New Roman;sans-serif" w:hAnsi="Times New Roman;sans-serif"/>
          <w:b w:val="false"/>
          <w:color w:val="000000"/>
          <w:sz w:val="22"/>
        </w:rPr>
        <w:t xml:space="preserve">means any acquisition, disposition, merger or similar transaction or series of related transactions consummated by the Borrower or any of its Subsidiaries whereby, as a result of the consummation of such transaction or series of related transactions, </w:t>
      </w:r>
      <w:r>
        <w:rPr>
          <w:rFonts w:ascii="Times New Roman;sans-serif" w:hAnsi="Times New Roman;sans-serif"/>
          <w:b w:val="false"/>
          <w:color w:val="0000FF"/>
          <w:sz w:val="22"/>
          <w:u w:val="single"/>
        </w:rPr>
        <w:t xml:space="preserve">(I) for the calendar year ended December 31, 2023, </w:t>
      </w:r>
      <w:r>
        <w:rPr>
          <w:rFonts w:ascii="Times New Roman;sans-serif" w:hAnsi="Times New Roman;sans-serif"/>
          <w:b w:val="false"/>
          <w:color w:val="000000"/>
          <w:sz w:val="22"/>
        </w:rPr>
        <w:t xml:space="preserve">the Borrower and its Subsidiaries’ Percent Diverse Spend or Percent SBT Spend would reasonably be expected to be increased or decreased as compared to the Borrower and its Subsidiaries’ Percent Diverse Spend or Percent SBT Spend immediately prior to the consummation of such transaction, </w:t>
      </w:r>
      <w:r>
        <w:rPr>
          <w:rFonts w:ascii="Times New Roman;sans-serif" w:hAnsi="Times New Roman;sans-serif"/>
          <w:b w:val="false"/>
          <w:color w:val="0000FF"/>
          <w:sz w:val="22"/>
          <w:u w:val="single"/>
        </w:rPr>
        <w:t xml:space="preserve">as determined in good faith by the Borrower (in consultation with the Sustainability Coordinator), and (II) for the calendar year ending December 31, 2024, and for each calendar year thereafter, the Borrower and its Subsidiaries’ Percent SBT Spend would reasonably be expected to be increased or decreased as compared to the Borrower and its Subsidiaries’ Percent SBT Spend immediately prior to the consummation of such transaction, </w:t>
      </w:r>
      <w:r>
        <w:rPr>
          <w:rFonts w:ascii="Times New Roman;sans-serif" w:hAnsi="Times New Roman;sans-serif"/>
          <w:b w:val="false"/>
          <w:color w:val="000000"/>
          <w:sz w:val="22"/>
        </w:rPr>
        <w:t>as determined in good faith by the Borrower (in consultation with the Sustainability Coordinator).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Sustainability Report</w:t>
      </w:r>
      <w:r>
        <w:rPr>
          <w:color w:val="000000"/>
        </w:rPr>
        <w:t xml:space="preserve">” </w:t>
      </w:r>
      <w:r>
        <w:rPr>
          <w:rFonts w:ascii="Times New Roman;sans-serif" w:hAnsi="Times New Roman;sans-serif"/>
          <w:b w:val="false"/>
          <w:color w:val="000000"/>
          <w:sz w:val="22"/>
        </w:rPr>
        <w:t>means the annual environmental, social and governance report publicly reported by the Borrower and published on the Borrower’s website on the Internet at https://www.nasdaq.com/esg/sustainability-report, at www.sec.gov/edgar/searchedgar/webusers.htm or at another website identified by the Borrower and accessible to each Lender, the Sustainability Coordinator and the Administrative Agent free of charge (or at the expense of the Borrower).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Swap Agreement</w:t>
      </w:r>
      <w:r>
        <w:rPr>
          <w:color w:val="000000"/>
        </w:rPr>
        <w:t xml:space="preserve">” </w:t>
      </w:r>
      <w:r>
        <w:rPr>
          <w:rFonts w:ascii="Times New Roman;sans-serif" w:hAnsi="Times New Roman;sans-serif"/>
          <w:b w:val="false"/>
          <w:color w:val="000000"/>
          <w:sz w:val="22"/>
        </w:rPr>
        <w:t xml:space="preserve">means any agreement with respect to any swap, forward, future, spot currency purchase, hedging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phantom stock or similar plan providing for payments only on account of services provided by current or former directors, officers, employees or consultants of the Borrower or the Subsidiaries shall be a Swap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Swedish Kronor</w:t>
      </w:r>
      <w:r>
        <w:rPr>
          <w:color w:val="000000"/>
        </w:rPr>
        <w:t xml:space="preserve">” </w:t>
      </w:r>
      <w:r>
        <w:rPr>
          <w:rFonts w:ascii="Times New Roman;sans-serif" w:hAnsi="Times New Roman;sans-serif"/>
          <w:b w:val="false"/>
          <w:color w:val="000000"/>
          <w:sz w:val="22"/>
        </w:rPr>
        <w:t>means the lawful currency of the Kingdom of Sweden.</w:t>
      </w:r>
    </w:p>
    <w:p>
      <w:pPr>
        <w:pStyle w:val="TextBody"/>
        <w:bidi w:val="0"/>
        <w:spacing w:before="0" w:after="24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Syndication Agents</w:t>
      </w:r>
      <w:r>
        <w:rPr>
          <w:color w:val="000000"/>
        </w:rPr>
        <w:t xml:space="preserve">” </w:t>
      </w:r>
      <w:r>
        <w:rPr>
          <w:rFonts w:ascii="Times New Roman;sans-serif" w:hAnsi="Times New Roman;sans-serif"/>
          <w:b w:val="false"/>
          <w:color w:val="000000"/>
          <w:sz w:val="22"/>
        </w:rPr>
        <w:t xml:space="preserve">means BofA Securities, Inc., JPMorgan Chase Bank, N.A., Mizuho Bank, LTD., Nordea Bank ABP, New York Branch, Skandinaviska Enskilda Banken AB (publ) and Wells Fargo Securities LLC, each in its capacity as a syndication agent for the Facilities.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TARGET Day</w:t>
      </w:r>
      <w:r>
        <w:rPr>
          <w:color w:val="000000"/>
        </w:rPr>
        <w:t xml:space="preserve">” </w:t>
      </w:r>
      <w:r>
        <w:rPr>
          <w:rFonts w:ascii="Times New Roman;sans-serif" w:hAnsi="Times New Roman;sans-serif"/>
          <w:b w:val="false"/>
          <w:color w:val="000000"/>
          <w:sz w:val="22"/>
        </w:rPr>
        <w:t>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any and all present or future taxes, levies, imposts, duties, withholdings or similar charges or deductions now or hereafter imposed, levied, collected or withheld by any Governmental Authority, and any interest, penalties or additions to tax related thereto.</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Term CORRA</w:t>
      </w:r>
      <w:r>
        <w:rPr>
          <w:color w:val="000000"/>
        </w:rPr>
        <w:t xml:space="preserve">” </w:t>
      </w:r>
      <w:r>
        <w:rPr>
          <w:rFonts w:ascii="Times New Roman;sans-serif" w:hAnsi="Times New Roman;sans-serif"/>
          <w:b w:val="false"/>
          <w:color w:val="000000"/>
          <w:sz w:val="22"/>
        </w:rPr>
        <w:t>has the meaning specified in clause (h) of the definition of Benchmark Rate.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Term CORRA Adjustment</w:t>
      </w:r>
      <w:r>
        <w:rPr>
          <w:color w:val="000000"/>
        </w:rPr>
        <w:t xml:space="preserve">” </w:t>
      </w:r>
      <w:r>
        <w:rPr>
          <w:rFonts w:ascii="Times New Roman;sans-serif" w:hAnsi="Times New Roman;sans-serif"/>
          <w:b w:val="false"/>
          <w:color w:val="000000"/>
          <w:sz w:val="22"/>
        </w:rPr>
        <w:t>means (i) 0.29547% (29.547 basis points) for an Interest Period of one-month’s duration and (ii) 0.32138% (32.138 basis points) for an Interest Period of three-months’ duration.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Term SOFR</w:t>
      </w:r>
      <w:r>
        <w:rPr>
          <w:color w:val="000000"/>
        </w:rPr>
        <w:t xml:space="preserve">” </w:t>
      </w:r>
      <w:r>
        <w:rPr>
          <w:rFonts w:ascii="Times New Roman;sans-serif" w:hAnsi="Times New Roman;sans-serif"/>
          <w:b w:val="false"/>
          <w:color w:val="000000"/>
          <w:sz w:val="22"/>
        </w:rPr>
        <w:t>means: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for any Interest Period with respect to a Term SOFR Loan, the rate per annum equal to the Term SOFR Screen Rate two U.S. Government Securities Business Days prior to the first day of such Interest Period with a term equivalent to such Interest Period; provided that if the rate is not published prior to 11:00 a.m. (New York City time) on such determination date then Term SOFR means the Term SOFR Screen Rate on the first U.S. Government Securities Business Day immediately prior thereto, in each case, plus the SOFR Adjustment for such Interest Period;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for any interest calculation with respect to a Base Rate Loan on any day, the rate per annum equal to the Term SOFR Screen Rate with a term of one month commencing on such day; provided that if the Term SOFR determined in accordance with either of the foregoing provisions (a) or (b) of this definition would otherwise be less than 0.00%, the Term SOFR shall be deemed 0.00% for purposes of this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 xml:space="preserve">Term SOFR Loan” </w:t>
      </w:r>
      <w:r>
        <w:rPr>
          <w:rFonts w:ascii="Times New Roman;sans-serif" w:hAnsi="Times New Roman;sans-serif"/>
          <w:b w:val="false"/>
          <w:color w:val="000000"/>
          <w:sz w:val="22"/>
        </w:rPr>
        <w:t>means a Loan that bears interest at a rate based on clause (a) of the definition of Term SOFR.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Term SOFR Replacement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2.12(b)</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Term SOFR Scheduled Unavailability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2.12(b)</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Term SOFR Screen Rate</w:t>
      </w:r>
      <w:r>
        <w:rPr>
          <w:color w:val="000000"/>
        </w:rPr>
        <w:t xml:space="preserve">” </w:t>
      </w:r>
      <w:r>
        <w:rPr>
          <w:rFonts w:ascii="Times New Roman;sans-serif" w:hAnsi="Times New Roman;sans-serif"/>
          <w:b w:val="false"/>
          <w:color w:val="000000"/>
          <w:sz w:val="22"/>
        </w:rPr>
        <w:t>means the forward-looking SOFR term rate administered by CME Group Benchmark Administration Limited (or any successor administrator reasonably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Term SOFR Successor Rate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2.12(b)(ii)</w:t>
      </w:r>
      <w:r>
        <w:rPr>
          <w:rFonts w:ascii="Times New Roman;sans-serif" w:hAnsi="Times New Roman;sans-serif"/>
          <w:b w:val="false"/>
          <w:color w:val="000000"/>
          <w:sz w:val="22"/>
        </w:rPr>
        <w:t>.</w:t>
      </w:r>
    </w:p>
    <w:p>
      <w:pPr>
        <w:pStyle w:val="TextBody"/>
        <w:bidi w:val="0"/>
        <w:spacing w:before="0" w:after="24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Tier 1 Spend</w:t>
      </w:r>
      <w:r>
        <w:rPr>
          <w:color w:val="000000"/>
        </w:rPr>
        <w:t xml:space="preserve">” </w:t>
      </w:r>
      <w:r>
        <w:rPr>
          <w:rFonts w:ascii="Times New Roman;sans-serif" w:hAnsi="Times New Roman;sans-serif"/>
          <w:b w:val="false"/>
          <w:color w:val="000000"/>
          <w:sz w:val="22"/>
        </w:rPr>
        <w:t>means money that is directly spent by the Borrower.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Tier 2 Spend</w:t>
      </w:r>
      <w:r>
        <w:rPr>
          <w:color w:val="000000"/>
        </w:rPr>
        <w:t xml:space="preserve">” </w:t>
      </w:r>
      <w:r>
        <w:rPr>
          <w:rFonts w:ascii="Times New Roman;sans-serif" w:hAnsi="Times New Roman;sans-serif"/>
          <w:b w:val="false"/>
          <w:color w:val="000000"/>
          <w:sz w:val="22"/>
        </w:rPr>
        <w:t>means money that is spent by a supplier of the Borrower in relation to a contract or work authorization with or for the Borrower.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Total Indebtedness</w:t>
      </w:r>
      <w:r>
        <w:rPr>
          <w:color w:val="000000"/>
        </w:rPr>
        <w:t xml:space="preserve">” </w:t>
      </w:r>
      <w:r>
        <w:rPr>
          <w:rFonts w:ascii="Times New Roman;sans-serif" w:hAnsi="Times New Roman;sans-serif"/>
          <w:b w:val="false"/>
          <w:color w:val="000000"/>
          <w:sz w:val="22"/>
        </w:rPr>
        <w:t xml:space="preserve">means, without duplication, as of any date, the aggregate principal amount of Indebtedness of the Borrower and the Subsidiaries included as a liability on the balance sheet of the Borrower and its Subsidiaries, determined on a consolidated basis, plus any guarantee of indebtedness of any third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term “Indebtedness” shall not include any of the following or any guarantees thereof: (i) contingent obligations of the Borrower or any Subsidiary as an account party or applicant in respect of any letter of credit or letter of guaranty unless such letter of credit or letter of guaranty supports an obligation that constitutes Indebtedness, (ii) any unfunded commitment or (iii) any Indebtedness or Guarantees permitted by Section 6.01(viii), (ix) or (xii) and outstanding in reliance of any such Section.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Tranche A LC Exposure</w:t>
      </w:r>
      <w:r>
        <w:rPr>
          <w:color w:val="000000"/>
        </w:rPr>
        <w:t xml:space="preserve">” </w:t>
      </w:r>
      <w:r>
        <w:rPr>
          <w:rFonts w:ascii="Times New Roman;sans-serif" w:hAnsi="Times New Roman;sans-serif"/>
          <w:b w:val="false"/>
          <w:color w:val="000000"/>
          <w:sz w:val="22"/>
        </w:rPr>
        <w:t xml:space="preserve">means, as at any date of determination, the aggregate amount available to be drawn under all outstanding Tranche A Letters of Credit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aggregate of all Unreimbursed Amounts in respect of Tranche A Letters of Credit, including all LC Borrowings in respect of Tranche A Letters of Credit. For purposes of computing the amount available to be drawn under any Tranche A Letter of Credit, the amount of such Tranche A Letter of Credit shall be determined in accordance with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xml:space="preserve">. For all purposes of this Agreement, if on any date of determination a Tranche A Letter of Credit has expired by its terms but any amount may still be drawn thereunder by reason of the operation of Rule 3.14 of the ISP, such Tranche A Letter of Credit shall be deemed to be “outstanding” in the amount so remaining available to be drawn. The Tranche A LC exposure of any Revolving A Lender at any time shall be its Applicable Percentage of the aggregate Tranche A LC Exposure at such time.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Tranche A Letter of Credit</w:t>
      </w:r>
      <w:r>
        <w:rPr>
          <w:color w:val="000000"/>
        </w:rPr>
        <w:t xml:space="preserve">” </w:t>
      </w:r>
      <w:r>
        <w:rPr>
          <w:rFonts w:ascii="Times New Roman;sans-serif" w:hAnsi="Times New Roman;sans-serif"/>
          <w:b w:val="false"/>
          <w:color w:val="000000"/>
          <w:sz w:val="22"/>
        </w:rPr>
        <w:t>means any Letter of Credit issued under the Revolving A Facility.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Tranche B LC Exposure</w:t>
      </w:r>
      <w:r>
        <w:rPr>
          <w:color w:val="000000"/>
        </w:rPr>
        <w:t xml:space="preserve">” </w:t>
      </w:r>
      <w:r>
        <w:rPr>
          <w:rFonts w:ascii="Times New Roman;sans-serif" w:hAnsi="Times New Roman;sans-serif"/>
          <w:b w:val="false"/>
          <w:color w:val="000000"/>
          <w:sz w:val="22"/>
        </w:rPr>
        <w:t xml:space="preserve">means, as at any date of determination, the aggregate amount available to be drawn under all outstanding Tranche B Letters of Credit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aggregate of all Unreimbursed Amounts in respect of Tranche B Letters of Credit, including all LC Borrowings in respect of Tranche B Letters of Credit. For purposes of computing the amount available to be drawn under any Tranche B Letter of Credit, the amount of such Tranche B Letter of Credit shall be determined in accordance with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xml:space="preserve">. For all purposes of this Agreement, if on any date of determination a Tranche B Letter of Credit has expired by its terms but any amount may still be drawn thereunder by reason of the operation of Rule 3.14 of the ISP, such Tranche B Letter of Credit shall be deemed to be “outstanding” in the amount so remaining available to be drawn. The Tranche B LC exposure of any Revolving B Lender at any time shall be its Applicable Percentage of the aggregate Tranche B LC Exposure at such time.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Tranche B Letter of Credit</w:t>
      </w:r>
      <w:r>
        <w:rPr>
          <w:color w:val="000000"/>
        </w:rPr>
        <w:t xml:space="preserve">” </w:t>
      </w:r>
      <w:r>
        <w:rPr>
          <w:rFonts w:ascii="Times New Roman;sans-serif" w:hAnsi="Times New Roman;sans-serif"/>
          <w:b w:val="false"/>
          <w:color w:val="000000"/>
          <w:sz w:val="22"/>
        </w:rPr>
        <w:t>means any Letter of Credit issued under the Revolving B Facility.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Tranche Conversion</w:t>
      </w:r>
      <w:r>
        <w:rPr>
          <w:color w:val="000000"/>
        </w:rPr>
        <w:t xml:space="preserve">” </w:t>
      </w:r>
      <w:r>
        <w:rPr>
          <w:rFonts w:ascii="Times New Roman;sans-serif" w:hAnsi="Times New Roman;sans-serif"/>
          <w:b w:val="false"/>
          <w:color w:val="000000"/>
          <w:sz w:val="22"/>
        </w:rPr>
        <w:t>has the meaning specified in Section 2.04(a).</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Transaction Costs</w:t>
      </w:r>
      <w:r>
        <w:rPr>
          <w:color w:val="000000"/>
        </w:rPr>
        <w:t xml:space="preserve">” </w:t>
      </w:r>
      <w:r>
        <w:rPr>
          <w:rFonts w:ascii="Times New Roman;sans-serif" w:hAnsi="Times New Roman;sans-serif"/>
          <w:b w:val="false"/>
          <w:color w:val="000000"/>
          <w:sz w:val="22"/>
        </w:rPr>
        <w:t>means all fees, costs and expense incurred or payable by the Borrower or any Subsidiary in connection with the Transactions.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Transactions</w:t>
      </w:r>
      <w:r>
        <w:rPr>
          <w:color w:val="000000"/>
        </w:rPr>
        <w:t xml:space="preserve">” </w:t>
      </w:r>
      <w:r>
        <w:rPr>
          <w:rFonts w:ascii="Times New Roman;sans-serif" w:hAnsi="Times New Roman;sans-serif"/>
          <w:b w:val="false"/>
          <w:color w:val="000000"/>
          <w:sz w:val="22"/>
        </w:rPr>
        <w:t>means (a) the execution, delivery and performance by the Borrower of the Loan Documents to which it is to be a party, (b) the Refinancing and (c) the payment of the Transaction Costs.</w:t>
      </w:r>
    </w:p>
    <w:p>
      <w:pPr>
        <w:pStyle w:val="TextBody"/>
        <w:bidi w:val="0"/>
        <w:spacing w:before="0" w:after="24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Type</w:t>
      </w:r>
      <w:r>
        <w:rPr>
          <w:rFonts w:ascii="Times New Roman;sans-serif" w:hAnsi="Times New Roman;sans-serif"/>
          <w:b w:val="false"/>
          <w:color w:val="000000"/>
          <w:sz w:val="22"/>
        </w:rPr>
        <w:t>,” when used in reference to any Loan or Borrowing, refers to whether the rate of interest on such Loan, or on the Loans comprising such Borrowing, is determined by reference to the Benchmark Rate, Term SOFR, Daily Simple SOFR or the Base Rate.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U.S. Government Securities Business Day</w:t>
      </w:r>
      <w:r>
        <w:rPr>
          <w:color w:val="000000"/>
        </w:rPr>
        <w:t xml:space="preserve">” </w:t>
      </w:r>
      <w:r>
        <w:rPr>
          <w:rFonts w:ascii="Times New Roman;sans-serif" w:hAnsi="Times New Roman;sans-serif"/>
          <w:b w:val="false"/>
          <w:color w:val="000000"/>
          <w:sz w:val="22"/>
        </w:rPr>
        <w:t xml:space="preserve">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UK ESOP Program</w:t>
      </w:r>
      <w:r>
        <w:rPr>
          <w:color w:val="000000"/>
        </w:rPr>
        <w:t xml:space="preserve">” </w:t>
      </w:r>
      <w:r>
        <w:rPr>
          <w:rFonts w:ascii="Times New Roman;sans-serif" w:hAnsi="Times New Roman;sans-serif"/>
          <w:b w:val="false"/>
          <w:color w:val="000000"/>
          <w:sz w:val="22"/>
        </w:rPr>
        <w:t>means any program in which any Subsidiary acts as an intermediary in the UK for customers’ exercise of employee stock option programs and/or equivalent incentive schemes that the customers have for its employees.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United States Tax Compliance Certificate</w:t>
      </w:r>
      <w:r>
        <w:rPr>
          <w:color w:val="000000"/>
        </w:rPr>
        <w:t xml:space="preserve">” </w:t>
      </w:r>
      <w:r>
        <w:rPr>
          <w:rFonts w:ascii="Times New Roman;sans-serif" w:hAnsi="Times New Roman;sans-serif"/>
          <w:b w:val="false"/>
          <w:color w:val="000000"/>
          <w:sz w:val="22"/>
        </w:rPr>
        <w:t>has the meaning specified in Section 2.15(e)(ii)(C).</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Unreimbursed Amount</w:t>
      </w:r>
      <w:r>
        <w:rPr>
          <w:color w:val="000000"/>
        </w:rPr>
        <w:t xml:space="preserve">” </w:t>
      </w:r>
      <w:r>
        <w:rPr>
          <w:rFonts w:ascii="Times New Roman;sans-serif" w:hAnsi="Times New Roman;sans-serif"/>
          <w:b w:val="false"/>
          <w:color w:val="000000"/>
          <w:sz w:val="22"/>
        </w:rPr>
        <w:t>has the meaning specified in Section 2.05(a)(ix).</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Unsuccessful Completion Threshold</w:t>
      </w:r>
      <w:r>
        <w:rPr>
          <w:color w:val="000000"/>
        </w:rPr>
        <w:t xml:space="preserve">” </w:t>
      </w:r>
      <w:r>
        <w:rPr>
          <w:rFonts w:ascii="Times New Roman;sans-serif" w:hAnsi="Times New Roman;sans-serif"/>
          <w:b w:val="false"/>
          <w:color w:val="000000"/>
          <w:sz w:val="22"/>
        </w:rPr>
        <w:t xml:space="preserve">means, for any KPI Metric, the applicable “Unsuccessful Completion Threshold” for such KPI Metric set forth in </w:t>
      </w:r>
      <w:r>
        <w:rPr>
          <w:rFonts w:ascii="Times New Roman;sans-serif" w:hAnsi="Times New Roman;sans-serif"/>
          <w:b w:val="false"/>
          <w:color w:val="000000"/>
          <w:sz w:val="22"/>
          <w:u w:val="single"/>
        </w:rPr>
        <w:t>Schedule 2.20</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Wholly-Owned Subsidiary</w:t>
      </w:r>
      <w:r>
        <w:rPr>
          <w:color w:val="000000"/>
        </w:rPr>
        <w:t xml:space="preserve">” </w:t>
      </w:r>
      <w:r>
        <w:rPr>
          <w:rFonts w:ascii="Times New Roman;sans-serif" w:hAnsi="Times New Roman;sans-serif"/>
          <w:b w:val="false"/>
          <w:color w:val="000000"/>
          <w:sz w:val="22"/>
        </w:rPr>
        <w:t>means, with respect to any Person at any date, a subsidiary of such Person of which securities or other ownership interests representing 100% of the Equity Interests (other than (a) directors’ qualifying shares and (b) shares issued to foreign nationals to the extent required by applicable law) are, as of such date, owned, controlled or held by such Person or one or more Wholly-Owned Subsidiaries of such Person or by such Person and one or more Wholly-Owned Subsidiaries of such Person.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2"/>
          <w:u w:val="single"/>
        </w:rPr>
        <w:t>Withdrawal Liability</w:t>
      </w:r>
      <w:r>
        <w:rPr>
          <w:color w:val="000000"/>
        </w:rPr>
        <w:t xml:space="preserve">” </w:t>
      </w:r>
      <w:r>
        <w:rPr>
          <w:rFonts w:ascii="Times New Roman;sans-serif" w:hAnsi="Times New Roman;sans-serif"/>
          <w:b w:val="false"/>
          <w:color w:val="000000"/>
          <w:sz w:val="22"/>
        </w:rPr>
        <w:t>means liability to a Multiemployer Plan as a result of a complete or partial withdrawal from such Multiemployer Plan, as such terms are defined in Part I of Subtitle E of Title IV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 xml:space="preserve">means, with (a)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w:t>
      </w:r>
    </w:p>
    <w:p>
      <w:pPr>
        <w:pStyle w:val="TextBody"/>
        <w:bidi w:val="0"/>
        <w:spacing w:before="0" w:after="24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1.02    </w:t>
      </w:r>
      <w:r>
        <w:rPr>
          <w:rFonts w:ascii="Times New Roman;sans-serif" w:hAnsi="Times New Roman;sans-serif"/>
          <w:b w:val="false"/>
          <w:color w:val="000000"/>
          <w:sz w:val="22"/>
          <w:u w:val="single"/>
        </w:rPr>
        <w:t xml:space="preserve">Classification of Loans and Borrowings </w:t>
      </w:r>
      <w:r>
        <w:rPr>
          <w:rFonts w:ascii="Times New Roman;sans-serif" w:hAnsi="Times New Roman;sans-serif"/>
          <w:b w:val="false"/>
          <w:color w:val="000000"/>
          <w:sz w:val="22"/>
        </w:rPr>
        <w:t>. For purposes of this Agreement, Loans may be classified and referred to by Class (</w:t>
      </w:r>
      <w:r>
        <w:rPr>
          <w:rFonts w:ascii="Times New Roman;sans-serif" w:hAnsi="Times New Roman;sans-serif"/>
          <w:b w:val="false"/>
          <w:color w:val="000000"/>
          <w:sz w:val="22"/>
          <w:u w:val="single"/>
        </w:rPr>
        <w:t>e.g</w:t>
      </w:r>
      <w:r>
        <w:rPr>
          <w:rFonts w:ascii="Times New Roman;sans-serif" w:hAnsi="Times New Roman;sans-serif"/>
          <w:b w:val="false"/>
          <w:color w:val="000000"/>
          <w:sz w:val="22"/>
        </w:rPr>
        <w:t>., a “Revolving Loan”) or by Type (</w:t>
      </w:r>
      <w:r>
        <w:rPr>
          <w:rFonts w:ascii="Times New Roman;sans-serif" w:hAnsi="Times New Roman;sans-serif"/>
          <w:b w:val="false"/>
          <w:color w:val="000000"/>
          <w:sz w:val="22"/>
          <w:u w:val="single"/>
        </w:rPr>
        <w:t>e.g</w:t>
      </w:r>
      <w:r>
        <w:rPr>
          <w:rFonts w:ascii="Times New Roman;sans-serif" w:hAnsi="Times New Roman;sans-serif"/>
          <w:b w:val="false"/>
          <w:color w:val="000000"/>
          <w:sz w:val="22"/>
        </w:rPr>
        <w:t>., a “Benchmark Loan”) or by Class and Type (</w:t>
      </w:r>
      <w:r>
        <w:rPr>
          <w:rFonts w:ascii="Times New Roman;sans-serif" w:hAnsi="Times New Roman;sans-serif"/>
          <w:b w:val="false"/>
          <w:color w:val="000000"/>
          <w:sz w:val="22"/>
          <w:u w:val="single"/>
        </w:rPr>
        <w:t>e.g</w:t>
      </w:r>
      <w:r>
        <w:rPr>
          <w:rFonts w:ascii="Times New Roman;sans-serif" w:hAnsi="Times New Roman;sans-serif"/>
          <w:b w:val="false"/>
          <w:color w:val="000000"/>
          <w:sz w:val="22"/>
        </w:rPr>
        <w:t>., a “Benchmark Revolving Loan”). Borrowings also may be classified and referred to by Class (</w:t>
      </w:r>
      <w:r>
        <w:rPr>
          <w:rFonts w:ascii="Times New Roman;sans-serif" w:hAnsi="Times New Roman;sans-serif"/>
          <w:b w:val="false"/>
          <w:color w:val="000000"/>
          <w:sz w:val="22"/>
          <w:u w:val="single"/>
        </w:rPr>
        <w:t>e.g</w:t>
      </w:r>
      <w:r>
        <w:rPr>
          <w:rFonts w:ascii="Times New Roman;sans-serif" w:hAnsi="Times New Roman;sans-serif"/>
          <w:b w:val="false"/>
          <w:color w:val="000000"/>
          <w:sz w:val="22"/>
        </w:rPr>
        <w:t>., a “Revolving Borrowing”) or by Type (</w:t>
      </w:r>
      <w:r>
        <w:rPr>
          <w:rFonts w:ascii="Times New Roman;sans-serif" w:hAnsi="Times New Roman;sans-serif"/>
          <w:b w:val="false"/>
          <w:color w:val="000000"/>
          <w:sz w:val="22"/>
          <w:u w:val="single"/>
        </w:rPr>
        <w:t>e.g</w:t>
      </w:r>
      <w:r>
        <w:rPr>
          <w:rFonts w:ascii="Times New Roman;sans-serif" w:hAnsi="Times New Roman;sans-serif"/>
          <w:b w:val="false"/>
          <w:color w:val="000000"/>
          <w:sz w:val="22"/>
        </w:rPr>
        <w:t>., a “Benchmark Borrowing”) or by Class and Type (</w:t>
      </w:r>
      <w:r>
        <w:rPr>
          <w:rFonts w:ascii="Times New Roman;sans-serif" w:hAnsi="Times New Roman;sans-serif"/>
          <w:b w:val="false"/>
          <w:color w:val="000000"/>
          <w:sz w:val="22"/>
          <w:u w:val="single"/>
        </w:rPr>
        <w:t>e.g</w:t>
      </w:r>
      <w:r>
        <w:rPr>
          <w:rFonts w:ascii="Times New Roman;sans-serif" w:hAnsi="Times New Roman;sans-serif"/>
          <w:b w:val="false"/>
          <w:color w:val="000000"/>
          <w:sz w:val="22"/>
        </w:rPr>
        <w:t>., a “Benchmark Revolving Borrowing”).</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1.03    </w:t>
      </w:r>
      <w:r>
        <w:rPr>
          <w:rFonts w:ascii="Times New Roman;sans-serif" w:hAnsi="Times New Roman;sans-serif"/>
          <w:b w:val="false"/>
          <w:color w:val="000000"/>
          <w:sz w:val="22"/>
          <w:u w:val="single"/>
        </w:rPr>
        <w:t>Terms Generally; Times of Day</w:t>
      </w:r>
      <w:r>
        <w:rPr>
          <w:rFonts w:ascii="Times New Roman;sans-serif" w:hAnsi="Times New Roman;sans-serif"/>
          <w:b w:val="false"/>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otherwise indicated or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In the computation of periods of time from a specified date to a later specified date, the word “from” means “from and including”; the words “to” and “until” each mean “to but excluding”; and the word “through” means “to and including.” Unless otherwise specified, all references herein to times of day shall be references to Eastern time (daylight or standard, as applicable). For all purposes under this Agreement,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1.04    </w:t>
      </w:r>
      <w:r>
        <w:rPr>
          <w:rFonts w:ascii="Times New Roman;sans-serif" w:hAnsi="Times New Roman;sans-serif"/>
          <w:b w:val="false"/>
          <w:color w:val="000000"/>
          <w:sz w:val="22"/>
          <w:u w:val="single"/>
        </w:rPr>
        <w:t>Accounting Terms; GAAP</w:t>
      </w:r>
      <w:r>
        <w:rPr>
          <w:rFonts w:ascii="Times New Roman;sans-serif" w:hAnsi="Times New Roman;sans-serif"/>
          <w:b w:val="false"/>
          <w:color w:val="000000"/>
          <w:sz w:val="22"/>
        </w:rPr>
        <w:t xml:space="preserve">. Except as otherwise expressly provided herein, all terms of an accounting or financial nature shall be construed in accordance with GAAP, as in effect from time to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Borrower notifies the Administrative Agent that the Borrower requests an amendment to any provision (including any definition) hereof to eliminate the effect of any change occurring after the date hereof in GAAP (including any election by the Borrower to operate under IFRS)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or election shall have become effective until such notice shall have been withdrawn or such provision amended in accordance herewith.</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1.05    </w:t>
      </w:r>
      <w:r>
        <w:rPr>
          <w:rFonts w:ascii="Times New Roman;sans-serif" w:hAnsi="Times New Roman;sans-serif"/>
          <w:b w:val="false"/>
          <w:color w:val="000000"/>
          <w:sz w:val="22"/>
          <w:u w:val="single"/>
        </w:rPr>
        <w:t>Pro Forma Calculations</w:t>
      </w:r>
      <w:r>
        <w:rPr>
          <w:rFonts w:ascii="Times New Roman;sans-serif" w:hAnsi="Times New Roman;sans-serif"/>
          <w:b w:val="false"/>
          <w:color w:val="000000"/>
          <w:sz w:val="22"/>
        </w:rPr>
        <w:t xml:space="preserve">. For purposes of any determination of the Leverage Ratio pursuant to Section 2.18 or any covenant set forth in Article VI: for any period during </w:t>
      </w:r>
    </w:p>
    <w:p>
      <w:pPr>
        <w:pStyle w:val="TextBody"/>
        <w:bidi w:val="0"/>
        <w:spacing w:before="0" w:after="24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which any Acquisition or any sale, transfer or other disposition of any material assets outside the ordinary course of business occurs (or has occurred since the last day of such period), the calculation of the Leverage Ratio with respect to such period for such purpose shall be made on a Pro Forma Basis.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1.06    </w:t>
      </w:r>
      <w:r>
        <w:rPr>
          <w:rFonts w:ascii="Times New Roman;sans-serif" w:hAnsi="Times New Roman;sans-serif"/>
          <w:b w:val="false"/>
          <w:color w:val="000000"/>
          <w:sz w:val="22"/>
          <w:u w:val="single"/>
        </w:rPr>
        <w:t>Letter of Credit Amounts</w:t>
      </w:r>
      <w:r>
        <w:rPr>
          <w:rFonts w:ascii="Times New Roman;sans-serif" w:hAnsi="Times New Roman;sans-serif"/>
          <w:b w:val="false"/>
          <w:color w:val="000000"/>
          <w:sz w:val="22"/>
        </w:rPr>
        <w:t xml:space="preserve">. Unless otherwise specified herein, the amount of a Letter of Credit at any time shall be deemed to be the stated amount, or the Dollar Equivalent of such Letter of Credit in effect at such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with respect to any Letter of Credit that, by its terms or the terms of any Issuer Document related thereto, provides for one or more automatic increases in the stated amount, or the Dollar Equivalent thereof, the amount of such Letter of Credit shall be deemed to be the maximum stated amount, or the Dollar Equivalent of such Letter of Credit after giving effect to all such increases, whether or not such maximum stated amount, or the Dollar Equivalent is in effect at such times.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1.07    </w:t>
      </w:r>
      <w:r>
        <w:rPr>
          <w:rFonts w:ascii="Times New Roman;sans-serif" w:hAnsi="Times New Roman;sans-serif"/>
          <w:b w:val="false"/>
          <w:color w:val="000000"/>
          <w:sz w:val="22"/>
          <w:u w:val="single"/>
        </w:rPr>
        <w:t>Exchange Rates; Currency Equivalents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Administrative Agent or the applicable Issuing Bank, as applicable, shall determine the Spot Rates as of each Revaluation Date to be used for calculating Dollar Equivalent amounts of Revolving Exposure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Borrower hereunder or calculating financial ratios hereunder or except as otherwise provided herein, the applicable amount of any currency (other than Dollars) for purposes of the Loan Documents shall be such Dollar Equivalent amount as so determined by the Administrative Agent or such Issuing Bank, as applicable; provided that for purposes of determining compliance with any Dollar-denominated restriction on (x) the incurrence of Indebtedness, the Dollar Equivalent principal amount of Indebtedness denominated in a currency other than Dollars shall be calculated based on the relevant currency exchange rate in effect on the date such Indebtedness is incurred, in the case of term debt, or first committed, in the case of revolving credit date; provided that, if indebtedness is incurred to extend, replace, refund, refinance, renew or defease other Indebtedness denominated in a currency other than Dollars,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and (y) the making of any investment, the Dollar-equivalent amount of any investment denominated in a currency other than Dollars shall be calculated based on the relevant currency exchange rate in effect on the date such investment was made.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Wherever in this Agreement in connection with a Borrowing, conversion, continuation or prepayment of a Benchmark Loan or the issuance, amendment or extension of a Letter of Credit, an amount, such as a required minimum or multiple amount, is expressed in Dollars, but such Borrowing, Benchmark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1.08    </w:t>
      </w:r>
      <w:r>
        <w:rPr>
          <w:rFonts w:ascii="Times New Roman;sans-serif" w:hAnsi="Times New Roman;sans-serif"/>
          <w:b w:val="false"/>
          <w:color w:val="000000"/>
          <w:sz w:val="22"/>
          <w:u w:val="single"/>
        </w:rPr>
        <w:t>Additional Alternative Currencies</w:t>
      </w:r>
      <w:r>
        <w:rPr>
          <w:rFonts w:ascii="Times New Roman;sans-serif" w:hAnsi="Times New Roman;sans-serif"/>
          <w:b w:val="false"/>
          <w:color w:val="000000"/>
          <w:sz w:val="22"/>
        </w:rPr>
        <w:t>.</w:t>
      </w:r>
    </w:p>
    <w:p>
      <w:pPr>
        <w:pStyle w:val="TextBody"/>
        <w:bidi w:val="0"/>
        <w:spacing w:before="0" w:after="24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(a)    The Borrower may from time to time request that Revolving Loans be made and/or Letters of Credit be issued in a currency other than those specifically listed in the definition of “Alternative Currency”;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requested currency is a lawful currency (other than Dollars) that is readily available and freely transferable and convertible into Dollars. In the case of any such request with respect to the making of Benchmark Loans, such request shall be subject to the approval of the Administrative Agent and the Revolving Lenders; and in the case of any such request with respect to the issuance of Letters of Credit, such request shall be subject to the approval of the Administrative Agent and the applicable Issuing Bank.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Any such request shall be made to the Administrative Agent not later than 11:00 a.m., 15 Business Days prior to the date of the desired credit extension (or such other time or date as may be agreed by the Administrative Agent and, in the case of any such request pertaining to Letters of Credit, the applicable Issuing Bank, in its or their sole discretion). In the case of any such request pertaining to Benchmark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Benchmark Loans) or such Issuing Bank (in the case of a request pertaining to Letters of Credit) shall notify the Administrative Agent, not later than 11:00 a.m., seven Business Days after receipt of such request whether it consents, in its sole discretion, to the making of Benchmark Loans or the issuance of Letters of Credit, as the case may be, in such requested currency.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Any failure by a Revolving Lender or Issuing Bank, as the case may be, to respond to such request within the time period specified in the preceding sentence shall be deemed to be a refusal by such Lender or Issuing Bank, as the case may be, to permit Benchmark Loans to be made or Letters of Credit to be issued in such requested currency. If the Administrative Agent and all the Revolving Lenders consent to making Benchmark Loans in such requested currency, the Administrative Agent shall so notify the Borrower and such currency shall thereupon be deemed for all purposes to be an Alternative Currency hereunder for purposes of any Borrowings of Benchmark Loans;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Section 1.08, the Administrative Agent shall promptly so notify the Borrower.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1.09    </w:t>
      </w:r>
      <w:r>
        <w:rPr>
          <w:rFonts w:ascii="Times New Roman;sans-serif" w:hAnsi="Times New Roman;sans-serif"/>
          <w:b w:val="false"/>
          <w:color w:val="000000"/>
          <w:sz w:val="22"/>
          <w:u w:val="single"/>
        </w:rPr>
        <w:t>Change of Currency</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(a)    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applicable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Borrowing in the currency of such member state is outstanding immediately prior to such date, such replacement shall take effect, with respect to such Borrowing, at the end of the then current Interest Period.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If applicable, each provision of this Agreement shall be subject to such reasonable changes of construction as the Administrative Agent (after consultation with the Borrower) may from </w:t>
      </w:r>
    </w:p>
    <w:p>
      <w:pPr>
        <w:pStyle w:val="TextBody"/>
        <w:bidi w:val="0"/>
        <w:spacing w:before="0" w:after="24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time to time specify to be appropriate to reflect the adoption of the Euro by any member state of the European Union and any relevant market conventions or practices relating to the Euro.</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Each provision of this Agreement also shall be subject to such reasonable changes of construction as the Administrative Agent may (after consultation with the Borrower) from time to time specify to be appropriate to reflect a change in currency of any other country and any relevant market conventions or practices relating to the change in currency.</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1.10    </w:t>
      </w:r>
      <w:r>
        <w:rPr>
          <w:rFonts w:ascii="Times New Roman;sans-serif" w:hAnsi="Times New Roman;sans-serif"/>
          <w:b w:val="false"/>
          <w:color w:val="000000"/>
          <w:sz w:val="22"/>
          <w:u w:val="single"/>
        </w:rPr>
        <w:t>Additional Borrowers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Notwithstanding anything in Section 9.02 to the contrary, following the Closing Date, the Borrower may request that one or more of its Foreign Subsidiaries that is a Wholly-Owned Subsidiary be added as an additional borrower (the “</w:t>
      </w:r>
      <w:r>
        <w:rPr>
          <w:rFonts w:ascii="Times New Roman;sans-serif" w:hAnsi="Times New Roman;sans-serif"/>
          <w:b w:val="false"/>
          <w:color w:val="000000"/>
          <w:sz w:val="22"/>
          <w:u w:val="single"/>
        </w:rPr>
        <w:t>Additional Borrower</w:t>
      </w:r>
      <w:r>
        <w:rPr>
          <w:color w:val="000000"/>
        </w:rPr>
        <w:t>”</w:t>
      </w:r>
      <w:r>
        <w:rPr>
          <w:rFonts w:ascii="Times New Roman;sans-serif" w:hAnsi="Times New Roman;sans-serif"/>
          <w:b w:val="false"/>
          <w:color w:val="000000"/>
          <w:sz w:val="22"/>
        </w:rPr>
        <w:t xml:space="preserve">) under the Facilities by delivering to the Administrative Agent an Additional Borrower Agreement executed by such Foreign Subsidiary and the Borrower and specifying the proposed effective date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jurisdiction of organization of such Foreign Subsidiary shall be reasonably satisfactory to each Lender. Such Foreign Subsidiary shall for all purposes of this Agreement be a borrower hereunder no earlier than the latest of (i) twenty (20) days (or such shorter period as the Administrative Agent may in its discretion agree) after delivery of such Additional Borrower Agreement; (ii) five (5) Business Days after receipt by the Lenders and the Administrative Agent of such documentation and other information reasonably requested by the Lenders or the Administrative Agent for purposes of complying with all necessary “know your customer” or other similar checks under all applicable laws and regulations provided that there has been no written objection submitted by any of the Lenders or the Administrative Agent within five (5) Business Days of the date of receipt of such documentation and other information; (iii) the receipt by the Administrative Agent and the Lenders of opinions of counsel relating to such Additional Borrower Agreement (and the guarantee referred to below) in form and substance reasonably satisfactory to the Administrative Agent and covering such customary matters in connection therewith as may be requested by the Administrative Agent; and (iv) if the applicable Additional Borrower is organized or incorporated in or under the laws of, or for applicable Tax purposes is resident of or treated as engaged in a trade or business in, any jurisdiction other than a jurisdiction in or under the laws of which at least one then-existing Borrower is organized or incorporated as of the date the Additional Borrower Agreement is delivered to the Administrative Agent, the date of the effectiveness of an amendment of this Agreement, which amendment must be as mutually agreed by the Administrative Agent, the Borrower, such Additional Borrower and each Lender (including, without limitation, Section 2.15 and the definition of “Excluded Taxes” and whether a carve out for any “day one” Taxes is appropriate);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unconditionally guarantee the Obligations of any such Additional Borrowers on a senior unsecured basis pursuant to a guarantee agreement in form reasonably satisfactory to the Administrative Agent. Any obligations in respect of borrowings by any Additional Borrower under this Agreement will constitute “Obligations” for all purposes of the Loan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no event shall any Additional Borrower have any liability with respect to the Obligations of the Borrower or any other Additional Borrower. Promptly following receipt of any Additional Borrower Agreement the Administrative Agent shall send a copy thereof to each Lender.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1.11    </w:t>
      </w:r>
      <w:r>
        <w:rPr>
          <w:rFonts w:ascii="Times New Roman;sans-serif" w:hAnsi="Times New Roman;sans-serif"/>
          <w:b w:val="false"/>
          <w:color w:val="000000"/>
          <w:sz w:val="22"/>
          <w:u w:val="single"/>
        </w:rPr>
        <w:t>Interest Rates</w:t>
      </w:r>
      <w:r>
        <w:rPr>
          <w:rFonts w:ascii="Times New Roman;sans-serif" w:hAnsi="Times New Roman;sans-serif"/>
          <w:b w:val="false"/>
          <w:color w:val="000000"/>
          <w:sz w:val="22"/>
        </w:rPr>
        <w:t xml:space="preserv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w:t>
      </w:r>
    </w:p>
    <w:p>
      <w:pPr>
        <w:pStyle w:val="TextBody"/>
        <w:bidi w:val="0"/>
        <w:spacing w:before="0" w:after="24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foregoing, or of any Conforming Changes. Bank of America and its affiliates or other related entities may, in their ordinary course of business, separate from their roles as the Administrative Agent, a Lender or other agent or arranger under the Loan Documents,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that, while undertaken in good faith, may be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sans-serif" w:hAnsi="Times New Roman;sans-serif"/>
          <w:b/>
          <w:color w:val="000000"/>
          <w:sz w:val="22"/>
        </w:rPr>
        <w:t>(</w:t>
      </w:r>
      <w:r>
        <w:rPr>
          <w:rFonts w:ascii="Times New Roman;sans-serif" w:hAnsi="Times New Roman;sans-serif"/>
          <w:b w:val="false"/>
          <w:color w:val="000000"/>
          <w:sz w:val="22"/>
        </w:rPr>
        <w:t xml:space="preserve">or any component of any of the foregoing),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By agreeing to make Loans under this Agreement, each Lender is confirming it has all licenses, permits and approvals necessary for use of the reference rates referred to herein and it will do all things commercially reasonable to comply, preserve, renew and keep in full force and effect such licenses, permits and approvals.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1.12    </w:t>
      </w:r>
      <w:r>
        <w:rPr>
          <w:rFonts w:ascii="Times New Roman;sans-serif" w:hAnsi="Times New Roman;sans-serif"/>
          <w:b w:val="false"/>
          <w:color w:val="000000"/>
          <w:sz w:val="22"/>
          <w:u w:val="single"/>
        </w:rPr>
        <w:t>Effect of Amendment and Restatement</w:t>
      </w:r>
      <w:r>
        <w:rPr>
          <w:rFonts w:ascii="Times New Roman;sans-serif" w:hAnsi="Times New Roman;sans-serif"/>
          <w:b w:val="false"/>
          <w:color w:val="000000"/>
          <w:sz w:val="22"/>
        </w:rPr>
        <w:t xml:space="preserve">. This Agreement shall amend, restate and supersede the Existing Credit Agreement in its entirety. On the Closing Date, (i) except for such rights and obligations that, by their terms, expressly survive the termination of the Existing Credit Agreement, the rights and obligations of the parties under the Existing Credit Agreement shall no longer be in effect and (ii) the Commitments under the Existing Credit Agreement shall no longer be in effect and thereafter only Commitments under this Agreement shall be outstanding until otherwise terminated in accordance with the terms hereof. All references to the Existing Credit Agreement in any Loan Document or other document or instrument delivered in connection therewith shall be deemed to refer to this Agreement and the provisions hereof. </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II</w:t>
        <w:br/>
        <w:br/>
        <w:t>THE CREDITS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2.01    </w:t>
      </w:r>
      <w:r>
        <w:rPr>
          <w:rFonts w:ascii="Times New Roman;sans-serif" w:hAnsi="Times New Roman;sans-serif"/>
          <w:b w:val="false"/>
          <w:color w:val="000000"/>
          <w:sz w:val="22"/>
          <w:u w:val="single"/>
        </w:rPr>
        <w:t>Commitments</w:t>
      </w:r>
      <w:r>
        <w:rPr>
          <w:rFonts w:ascii="Times New Roman;sans-serif" w:hAnsi="Times New Roman;sans-serif"/>
          <w:b w:val="false"/>
          <w:color w:val="000000"/>
          <w:sz w:val="22"/>
        </w:rPr>
        <w:t xml:space="preserve">. Subject to the terms and conditions set forth herein, (i) each Revolving A Lender severally agrees to make Revolving A Loans denominated in Dollars or an Alternative Currency to the Borrower or, if applicable, any Additional Borrower as elected by the Borrower pursuant to Section 2.03 from time to time, on any Business Day during the Revolving Availability Period, in an aggregate Outstanding Amount that will not result in such Revolving A Lender’s Revolving A Exposure exceeding such Revolving A Lender’s Revolving A Commitment or the aggregate Outstanding Amount of Revolving Loans denominated in Alternative Currencies exceeding the Alternative Currency Sublimit and (ii) each Revolving B Lender severally agrees to make Revolving B Loans denominated in Dollars or an Alternative Currency to the Borrower or, if applicable, an Additional Borrower, as elected by the Borrower pursuant to Section 2.03 from time to time, on any Business Day during the Revolving Availability Period, in an aggregate Outstanding Amount that will not result in such Revolving B Lender’s Revolving B Exposure exceeding such Revolving B Lender’s Revolving B Commitment or the aggregate Outstanding Amount of Revolving Loans denominated in Alternative Currencies exceeding the Alternative Currency Sublimit. Within the limits of each Revolving Lender’s Revolving Commitment, and subject to the other terms and conditions hereof, the Borrower may borrow, prepay, and reborrow Revolving Loans. Revolving Loans denominated in Dollars may be ABR Loans, </w:t>
      </w:r>
    </w:p>
    <w:p>
      <w:pPr>
        <w:pStyle w:val="TextBody"/>
        <w:bidi w:val="0"/>
        <w:spacing w:before="0" w:after="24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Daily Simple SOFR Loans or Benchmark Loans, as further provided herein, and Revolving Loans denominated in Alternative Currencies must be Benchmark Loans, as further provided herein.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2.02    </w:t>
      </w:r>
      <w:r>
        <w:rPr>
          <w:rFonts w:ascii="Times New Roman;sans-serif" w:hAnsi="Times New Roman;sans-serif"/>
          <w:b w:val="false"/>
          <w:color w:val="000000"/>
          <w:sz w:val="22"/>
          <w:u w:val="single"/>
        </w:rPr>
        <w:t>Funding of Loans</w:t>
      </w:r>
      <w:r>
        <w:rPr>
          <w:rFonts w:ascii="Times New Roman;sans-serif" w:hAnsi="Times New Roman;sans-serif"/>
          <w:b w:val="false"/>
          <w:color w:val="000000"/>
          <w:sz w:val="22"/>
        </w:rPr>
        <w:t xml:space="preserve">. 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Commitments of the Lenders are several and no Lender shall be responsible for any other Lender’s failure to make Loans as required. Each Lender at its option may make any Benchmark Loan by causing any domestic or foreign branch or Affiliate of such Lender to make such Loan;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exercise of such option shall not affect the obligation of the Borrower to repay such Loan in accordance with the terms of this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2.03    </w:t>
      </w:r>
      <w:r>
        <w:rPr>
          <w:rFonts w:ascii="Times New Roman;sans-serif" w:hAnsi="Times New Roman;sans-serif"/>
          <w:b w:val="false"/>
          <w:color w:val="000000"/>
          <w:sz w:val="22"/>
          <w:u w:val="single"/>
        </w:rPr>
        <w:t>Requests for Borrowings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    Each Borrowing, each conversion of Loans from one Type to the other, and each continuation of Benchmark Loans shall be made upon the Borrower’s irrevocable notice to the Administrative Agent, which may be given by telephone. Each such notice must be received by the Administrative Agent not later than (i) 12:00 noon, New York City time, two (2) Business Days prior to the requested date of any Borrowing or continuation of Benchmark Loans denominated in Dollars or any conversion of ABR Loans or Daily Simple SOFR Loans to Benchmark Loans denominated in Dollars, (ii) 12:00 noon, New York City time, four (4) Business Days prior to the requested date of any Borrowing or continuation of Benchmark Loans denominated in an Alternative Currency, (iii) 11:00 a.m., New York City time, on the requested date of any conversion to or Borrowing of ABR Loans or Daily Simple SOFR Loans under the Revolving A Facility, (iv) 3:00 p.m., New York City time, on the requested date of any conversion to or Borrowing of ABR Loans or Daily Simple SOFR Loans under the Revolving B Facility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notice provided after 3:00 p.m., New York City time, on any day will be deemed to have been provided at 8:00 a.m., New York City time on the next Business Day);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if the Borrower wishes to request Benchmark Loans (other than Benchmark Loans, if any, made on the Closing Date) having an Interest Period other than one,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Each telephonic notice by the Borrower pursuant to this Section 2.03(a) must be confirmed promptly by delivery to the Administrative Agent of a written Borrowing Request, appropriately completed and signed by a Responsible Officer of the Borrower. Each Borrowing of, conversion to or continuation of Benchmark Loans shall be in an amount of $5,000,000 or a whole multiple of $1,000,000 in excess thereof. Except as provided in Section 2.05, each Borrowing of or conversion to ABR Loans or Daily Simple SOFR Loans shall be in a principal amount of $500,000 or a whole multiple of $100,000 in excess thereof. Each Borrowing Request (whether telephonic or written) shall specify (i) whether the Borrower is requesting a Borrowing of Revolving Loans, a conversion of Revolving Loans from one Type to the other, or a continuation of Benchmark Loans, (ii) the requested date of the Borrowing, conversion or continuation, as the case may be (which shall be a Business Day), (iii) the principal amount of Loans to be borrowed, converted or continued, (iv) the currency in which the Loans to be borrowed are to be denominated, (v) the Type of Loans to be borrowed or to which existing Revolving Loans are to be converted and (vi) if applicable, the </w:t>
      </w:r>
    </w:p>
    <w:p>
      <w:pPr>
        <w:pStyle w:val="TextBody"/>
        <w:bidi w:val="0"/>
        <w:spacing w:before="0" w:after="24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duration of the Interest Period with respect thereto, (vii) under which Facility the Borrowing is to be made (or whether the aggregate amount of the Loans requested should be divided between the Facilities on a pro rata basis). If the Borrower fails to specify a Type of Loan in a Borrowing Request or fails to give a timely notice requesting a conversion or continuation, then the applicable Revolving Loans shall be made as, or converted to, ABR Loans (unless the Loan being made or continued is denominated in an Alternative Currency, in which case it shall be made or continued as a Benchmark Loan with an Interest Period of one month). Any such automatic conversion to ABR Loans shall be effective as of the last day of the Interest Period then in effect with respect to the applicable Benchmark Loans. If the Borrower requests a Borrowing of, conversion to, or continuation of Benchmark Loans in any such Borrowing Request, but fails to specify an Interest Period (or fails to give a timely notice requesting a continuation of Benchmark Loans denominated in an Alternative Currency), it will be deemed to have specified an Interest Period of one (1) month. If no currency is specified in a Borrowing Request, the requested Borrowing shall be in Dollars.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(b)    Following receipt of a Borrowing Request, the Administrative Agent shall promptly notify each applicable Lender of the amount (and currency) of its pro rata share of the applicable Class of Loans, and if no timely notice of a conversion or continuation is provided by the Borrower, the Administrative Agent shall notify each applicable Lender of the details of any automatic conversion to ABR Loans or continuation of Loans denominated in an Alternative Currency described in Section 2.03(a). In the case of each Borrowing, each applicable Lender shall make the amount of its Loan available to the Administrative Agent in Same Day Funds at the Administrative Agent’s Office for Dollars or the applicable Alternative Currency, as the case may be, not later than 1:00 p.m., New York City time, on the Business Day specified in the applicable Borrowing Request;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solely in the case of a Borrowing of ABR Loans or Daily Simple SOFR Loans under the Revolving B Facility, each applicable Lender shall make the amount of its Loan available to the Administrative Agent in Same Day Funds at the Administrative Agent’s Office for Dollars within 60 minutes after receipt of notice from the Administrative Agent (or, if later, by 9:30, a.m., New York City time, on the required date of funding). Upon satisfaction of the conditions set forth in Section 4.02 (and, with respect to Loans, if any, made on the Closing Date, the conditions set forth in Section 4.01), the Administrative Agent shall make all funds so received available to the Borrower in like funds as received by the Administrative Agent either by (i) crediting the account of the Borrower on the books of the Administrative Agent with such amount in immediately available funds or (ii) wire transfer of such funds, in each case in accordance with instructions provided to (and reasonably acceptable to) the Administrative Agent by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on the date a Borrowing Request with respect to a Borrowing of Revolving Loans is given by the Borrower, there are LC Borrowings outstanding, then the proceeds of such Borrowing shall be applied, first, to the payment in full of any such LC Borrowings, and second, to the Borrower as provided above.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Except as otherwise provided herein, a Benchmark Loan may be continued or converted only on the last day of an Interest Period for such Benchmark Loan. During the existence of an Event of Default, the Required Lenders may require that no Loans may be converted to or continued as Benchmark Loans.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    The Administrative Agent shall promptly notify the Borrower and the Lenders of the interest rate applicable to any Interest Period for Benchmark Loans and Daily Simple SOFR Loans upon determination of such interest rate. The determination of the Benchmark Rate and Daily Simple SOFR by the Administrative Agent shall be conclusive in the absence of manifest error. At any time that ABR Loans are outstanding, the Administrative Agent shall notify the Borrower and the applicable Lenders of </w:t>
      </w:r>
    </w:p>
    <w:p>
      <w:pPr>
        <w:pStyle w:val="TextBody"/>
        <w:bidi w:val="0"/>
        <w:spacing w:before="0" w:after="24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any change in the Administrative Agent’s base rate used in determining the Base Rate promptly following the public announcement of such change.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After giving effect to all Borrowings, all conversions of Loans from one Type to the other, and all continuations of Loans as the same Type, there shall not be more than ten (10) Interest Periods in effect at one time unless otherwise agreed between the Borrower and the Administrative Agent.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Unless the Administrative Agent shall have received notice from a Lender prior to 12:00 noon, New York City time (or, in case of ABR Loans or Daily Simple SOFR Loans under the Revolving B Facility, prior to 4:00 p.m., New York City Time), on the date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paragraph (b)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Borrowing and (ii) in the case of such Lender, the Overnight Rate plus any administrative, processing, or similar fees customarily charged by the Administrative Agent in accordance with the foregoing. A certificate of the Administrative Agent submitted to any Lender with respect to any amounts owing under this Section 2.03(f)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and the Administrative Agent shall promptly remit to Borrower any amounts previously paid by Borrower in respect of such Borrowing under this Section 2.03. Any payment by the Borrower shall be without prejudice to any claim the Borrower may have against a Lender that shall have failed to make such payment to the Administrative Agent.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    Each Lender that is a lender under the Existing Credit Agreement hereby waives the right to any payments pursuant to Section 2.14 of the Existing Credit Agreement in connection with the Refinancing.</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(h)    With respect to SOFR or Term SOFR, the Administrative Agent shall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with respect to any such amendment effected, the Administrative Agent shall post each such amendment implementing such Conforming Changes to the Borrower and the Lenders reasonably promptly after such amendment becomes effective.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before="0" w:after="24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2.04    </w:t>
      </w:r>
      <w:r>
        <w:rPr>
          <w:rFonts w:ascii="Times New Roman;sans-serif" w:hAnsi="Times New Roman;sans-serif"/>
          <w:b w:val="false"/>
          <w:color w:val="000000"/>
          <w:sz w:val="22"/>
          <w:u w:val="single"/>
        </w:rPr>
        <w:t>Tranche Conversions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    The Borrower may request that any Lender (any such Lender, a “</w:t>
      </w:r>
      <w:r>
        <w:rPr>
          <w:rFonts w:ascii="Times New Roman;sans-serif" w:hAnsi="Times New Roman;sans-serif"/>
          <w:b w:val="false"/>
          <w:color w:val="000000"/>
          <w:sz w:val="22"/>
          <w:u w:val="single"/>
        </w:rPr>
        <w:t>Specified Lender</w:t>
      </w:r>
      <w:r>
        <w:rPr>
          <w:color w:val="000000"/>
        </w:rPr>
        <w:t>”</w:t>
      </w:r>
      <w:r>
        <w:rPr>
          <w:rFonts w:ascii="Times New Roman;sans-serif" w:hAnsi="Times New Roman;sans-serif"/>
          <w:b w:val="false"/>
          <w:color w:val="000000"/>
          <w:sz w:val="22"/>
        </w:rPr>
        <w:t>) convert all or a part of such Lender’s Revolving Commitment into a Revolving Commitment of another Class. Each Specified Lender shall notify the Borrower within five (5) Business Days of receipt of the Borrower’s request, in writing, if and by what amount such Specified Lender is willing, in its sole discretion, to so convert its Commitment to a Commitment of another Class. Notwithstanding the foregoing, anything else provided herein or otherwise, if any Specified Lender shall fail to notify the Borrower within such five Business Day period, such Specified Lender shall be deemed to have declined such requested conversion. Any such conversion of Commitments occurring pursuant to this Section 2.04 shall be pursuant to a written agreement signed by the Borrower, the converting Lender and the Administrative Agent and shall be referred to herein as a “</w:t>
      </w:r>
      <w:r>
        <w:rPr>
          <w:rFonts w:ascii="Times New Roman;sans-serif" w:hAnsi="Times New Roman;sans-serif"/>
          <w:b w:val="false"/>
          <w:color w:val="000000"/>
          <w:sz w:val="22"/>
          <w:u w:val="single"/>
        </w:rPr>
        <w:t>Tranche Conversion</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Tranche Conversion shall be permitted unless, after giving effect thereto and to any prepayment of Loans in connection therewith, the Revolving Exposure under each Facility would not exceed the Revolving Commitments under such Facility.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In the event of any Tranche Conversion concerning a Lender who was a Revolving B Lender prior to such conversion: (x) such Revolving B Lender’s Revolving B Commitment shall automatically be converted into a Revolving A Commitment in the same amount and (y) such Lender shall thereafter be considered a “Revolving A Lender” for purposes hereof. In the event of any Tranche Conversion concerning a Lender who was a Revolving A Lender prior to such conversion: (x) such Revolving A Lender’s Revolving A Commitment shall automatically be converted into a Revolving B Commitment in the same amount and (y) such Lender shall thereafter be considered a “Revolving B Lender” for purposes hereof.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In the event there are any Loans or LC Advances outstanding as of the date of any Tranche Conversion, (i) the Borrower shall prepay (which prepayment shall not be on a pro rata basis with the other Loans and LC Advances owing to other Lenders under such Facility) all Loans and LC Advances under any Facility owing to the Lender whose Revolving Commitment under such Facility is being converted and (ii) the Lender whose Revolving Commitment under a Facility is being converted to a Revolving Commitment under the other Facility shall purchase at par from each of the other Lenders under the Facility to which such Lender’s Revolving Commitment is being converted such principal amount of the outstanding Revolving Loans and LC Advances of each such Lender as may be specified by the Administrative Agent so that, after giving effect to all such purchases, each Borrowing and LC Advance under such Facility is held on a pro rata basis by the Lenders thereunder in accordance with their Applicable Percentages.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any Tranche Conversion pursuant to this Section 2.04, the Alternative Currency Sublimit for each Facility shall be automatically adjusted at the time of such Tranche Conversion so that the percentage obtained by dividing the Alternative Currency Sublimit for such Facility by the total Revolving Commitments under such Facility immediately following such Tranche Conversion is equal to such percentage immediately after such Tranche Conversion.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2.05    </w:t>
      </w:r>
      <w:r>
        <w:rPr>
          <w:rFonts w:ascii="Times New Roman;sans-serif" w:hAnsi="Times New Roman;sans-serif"/>
          <w:b w:val="false"/>
          <w:color w:val="000000"/>
          <w:sz w:val="22"/>
          <w:u w:val="single"/>
        </w:rPr>
        <w:t>Letters of Credit</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Discretionary Letters of Credit</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Subject to the terms and conditions set forth herein, (A) any Issuing Bank may, in its sole discretion, in reliance upon the agreements of the other Revolving Lenders set forth in this Section 2.05, </w:t>
      </w:r>
    </w:p>
    <w:p>
      <w:pPr>
        <w:pStyle w:val="TextBody"/>
        <w:bidi w:val="0"/>
        <w:spacing w:before="0" w:after="24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(x) from time to time on any Business Day during the period from the Closing Date until the fifth Business Day prior to the Maturity Date, issue Letters of Credit for the account of the Borrower under any Revolving Facility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Letter of Credit may be for the benefit of any Subsidiary of the Borrower) and to amend or renew Letters of Credit previously issued by it, in accordance with this Section 2.05, and (y) to honor drawings under the Letters of Credit and (B) the Revolving Lenders under each Revolving Facility severally agree to participate in Letters of Credit issued under such Revolving Credit Facility pursuant to this Section 2.05;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Issuing Bank shall make LC Credit Extensions with respect to Letters of Credit, and Revolving Lenders shall not be obligated to participate in Letters of Credit if, after giving effect to such LC Credit Extension, (i) the Revolving Exposures would exceed the Revolving Commitments, (ii) in the case of a Tranche A Letter of Credit, the aggregate principal amount of the total Revolving A Exposures would exceed the total Revolving A Commitments or (iii) in the case of a Tranche B Letter of Credit, the aggregate principal amount of the total Revolving B Exposures would exceed the total Revolving B Commitments, as applicable. Each request by the Borrower for an LC Credit Extension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and subject to the consent of the applicable Issuing Bank, obtain Letters of Credit to replace Letters of Credit that have expired or that have been drawn upon and reimbursed.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    No Issuing Bank shall issue or amend any Letters of Credit if:</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(1)    subject to </w:t>
      </w:r>
      <w:r>
        <w:rPr>
          <w:rFonts w:ascii="Times New Roman;sans-serif" w:hAnsi="Times New Roman;sans-serif"/>
          <w:b w:val="false"/>
          <w:color w:val="000000"/>
          <w:sz w:val="22"/>
          <w:u w:val="single"/>
        </w:rPr>
        <w:t>Section 2.05(a)(viii)</w:t>
      </w:r>
      <w:r>
        <w:rPr>
          <w:rFonts w:ascii="Times New Roman;sans-serif" w:hAnsi="Times New Roman;sans-serif"/>
          <w:b w:val="false"/>
          <w:color w:val="000000"/>
          <w:sz w:val="22"/>
        </w:rPr>
        <w:t xml:space="preserve">, the expiry date of such requested Letter of Credit would occur more than twelve months after the date of issuance or last renewal, unless otherwise agreed by such Issuing Bank and the Administrative Agent;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(2)    subject to </w:t>
      </w:r>
      <w:r>
        <w:rPr>
          <w:rFonts w:ascii="Times New Roman;sans-serif" w:hAnsi="Times New Roman;sans-serif"/>
          <w:b w:val="false"/>
          <w:color w:val="000000"/>
          <w:sz w:val="22"/>
          <w:u w:val="single"/>
        </w:rPr>
        <w:t>Section 2.05(a)(iii)</w:t>
      </w:r>
      <w:r>
        <w:rPr>
          <w:rFonts w:ascii="Times New Roman;sans-serif" w:hAnsi="Times New Roman;sans-serif"/>
          <w:b w:val="false"/>
          <w:color w:val="000000"/>
          <w:sz w:val="22"/>
        </w:rPr>
        <w:t xml:space="preserve">, the expiry date of such requested Letter of Credit would occur after the one year anniversary of the Maturity Date (provided that the total amount of all Letters of Credit with an expiry date after the Maturity Date shall not be permitted to exceed $125,000,000), unless each Revolving Lender shall have approved such expiry date;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(3)    in the case of any Issuing Bank other than Bank of America, such Letter of Credit is denominated in currency other than Dollars; or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    except as otherwise agreed by the Administrative Agent and the applicable Issuing Bank, the Letter of Credit is in an initial stated amount less than $500,000 or is not in an integral multiple of $100,000 in excess thereof.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(iii)    The Borrower shall cause any Letter of Credit outstanding on or after the date that is five Business Days prior to the Maturity Date to be Cash Collateralized in accordance with Section 2.05(e) on or prior to such date and for so long as such Letter of Credit is outstanding.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(iv)    Each Issuing Bank shall act on behalf of the applicable Revolving Lenders with respect to any Letters of Credit issued by it and the documents associated therewith, and each Issuing Bank shall have all of the benefits and immunities (A) provided to the Administrative Agent in Article VIII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each Issuing Bank with </w:t>
      </w:r>
    </w:p>
    <w:p>
      <w:pPr>
        <w:pStyle w:val="TextBody"/>
        <w:bidi w:val="0"/>
        <w:spacing w:before="0" w:after="24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respect to such acts or omissions, and (B) as additionally provided herein with respect to the Issuing Banks.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    Each Letter of Credit shall be issued or amended, as the case may be, with the consent of the applicable Issuing Bank and upon the request of the Borrower delivered to such Issuing Bank (with a copy to the Administrative Agent) in the form of a Letter of Credit Application, appropriately completed and signed by a Responsible Officer of the Borrower. Such Letter of Credit Application must be received by such Issuing Bank and the Administrative Agent not later than 12:00 noon at least two (2) Business Days prior to the proposed issuance date or date of amendment, as the case may be; or, in each case, such later date and time as the applicable Issuing Bank may agree in a particular instance in its sole discretion.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and whether such Letter of Credit shall be a Tranche A Letter of Credit or a Tranche B Letter of Credit;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currency in which the request Letter of Credit will be denominated; and (h) such other information as shall be necessary to prepare such Letter of Credit. In the case of a request for an amendment of any outstanding Letter of Credit, such Letter of Credit Application shall specify in form and detail reasonably satisfactory to the applicable Issuing Bank (1) the Letter of Credit to be amended; (2) the proposed date of amendment thereof (which shall be a Business Day); (3) the nature of the proposed amendment; and (4) such other information as shall be necessary to amend such Letter of Credit.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(vi)    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 copy thereof. Unless such Issuing Bank has received written notice from the Required Lenders, the Administrative Agent or the Borrower, at least one Business Day prior to the requested date of issuance or amendment of the applicable Letter of Credit, that one or more conditions contained in Section 4.02 (and, with respect to Letters of Credit, if any, issued on the Closing Date, the conditions set forth in Section 4.01) shall not then be satisfied, then, subject to the terms and conditions hereof, such Issuing Bank may (but shall not be required to), on the requested date, issue a Letter of Credit for the account of the Borrower (or the applicable Subsidiary) or enter into the applicable amendment, as the case may be. Immediately upon the issuance of each Letter of Credit, each Revolving Lender under the applicable Revolving Facility shall be deemed to, and hereby irrevocably and unconditionally agrees to, acquire from such Issuing Bank a risk participation in such Letter of Credit in an amount equal to such Revolving Lender’s Applicable Percentage under the applicable Revolving Facility times the amount of such Letter of Credit.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(vii)    If the Borrower so requests in any applicable Letter of Credit Application, the applicable Issuing Bank may, in its sole discretion, agree to issue a Letter of Credit that has automatic renewal provisions (each, an “</w:t>
      </w:r>
      <w:r>
        <w:rPr>
          <w:rFonts w:ascii="Times New Roman;sans-serif" w:hAnsi="Times New Roman;sans-serif"/>
          <w:b w:val="false"/>
          <w:color w:val="000000"/>
          <w:sz w:val="22"/>
          <w:u w:val="single"/>
        </w:rPr>
        <w:t>Auto-Renewal Letter of Credit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Auto-Renewal Letter of Credit must permit such Issuing Bank to prevent any such renewal at least once in each twelve-month period (commencing with the date of issuance of such Letter of Credit) by giving prior notice to the beneficiary thereof not later than a day (the “</w:t>
      </w:r>
      <w:r>
        <w:rPr>
          <w:rFonts w:ascii="Times New Roman;sans-serif" w:hAnsi="Times New Roman;sans-serif"/>
          <w:b w:val="false"/>
          <w:color w:val="000000"/>
          <w:sz w:val="22"/>
          <w:u w:val="single"/>
        </w:rPr>
        <w:t>Nonrenewal Notice Date</w:t>
      </w:r>
      <w:r>
        <w:rPr>
          <w:color w:val="000000"/>
        </w:rPr>
        <w:t>”</w:t>
      </w:r>
      <w:r>
        <w:rPr>
          <w:rFonts w:ascii="Times New Roman;sans-serif" w:hAnsi="Times New Roman;sans-serif"/>
          <w:b w:val="false"/>
          <w:color w:val="000000"/>
          <w:sz w:val="22"/>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w:t>
      </w:r>
    </w:p>
    <w:p>
      <w:pPr>
        <w:pStyle w:val="TextBody"/>
        <w:bidi w:val="0"/>
        <w:spacing w:before="0" w:after="24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deemed to have authorized (but may not require) the applicable Issuing Bank to permit the renewal of such Letter of Credit at any time to an expiry date not later than the fifth Business Day prior to the Maturity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Issuing Bank shall not permit any such renewal if (A) such Issuing Bank has determined that it would not be permitted to issue such Letter of Credit in its renewed form under the terms thereof, or (B) it has received notice (which may be by telephone or in writing) on or before the day that is five (5) Business Days before the Nonrenewal Notice Date from the Administrative Agent or the Required Lenders, as applicable, or the Borrower that one or more of the conditions specified in Section 4.02 is not then satisfied.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(viii)    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(ix)    Upon receipt from the beneficiary of any Letter of Credit of any notice of a drawing under such Letter of Credit, the applicable Issuing Bank shall notify promptly the Borrower and the Administrative Agent thereof. In the case of an LC Disbursement with respect to any Letter of Credit denominated in an Alternative Currency, the Borrower shall reimburse the applicable Issuing Bank in such 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an LC Disbursement under a Letter of Credit denominated in an Alternative Currency, the applicable Issuing Bank shall notify the Borrower of the Dollar Equivalent of the amount of the LC Disbursement promptly following the determination thereof. Not later than 11:00 a.m. on the first Business Day following the date on which the Borrower receives notice of any LC Disbursement (each such date, an “</w:t>
      </w:r>
      <w:r>
        <w:rPr>
          <w:rFonts w:ascii="Times New Roman;sans-serif" w:hAnsi="Times New Roman;sans-serif"/>
          <w:b w:val="false"/>
          <w:color w:val="000000"/>
          <w:sz w:val="22"/>
          <w:u w:val="single"/>
        </w:rPr>
        <w:t>Honor Date</w:t>
      </w:r>
      <w:r>
        <w:rPr>
          <w:color w:val="000000"/>
        </w:rPr>
        <w:t>”</w:t>
      </w:r>
      <w:r>
        <w:rPr>
          <w:rFonts w:ascii="Times New Roman;sans-serif" w:hAnsi="Times New Roman;sans-serif"/>
          <w:b w:val="false"/>
          <w:color w:val="000000"/>
          <w:sz w:val="22"/>
        </w:rPr>
        <w:t>), the Borrower shall reimburse the applicable Issuing Bank in an amount equal to the amount of such LC Disbursement and in the applicable currency. If the Borrower fails to so reimburse such Issuing Bank by such time, the Administrative Agent shall promptly notify each Revolving Lender under the applicable Revolving Facility of the Honor Date, the amount of the unreimbursed LC Disbursement (the “</w:t>
      </w:r>
      <w:r>
        <w:rPr>
          <w:rFonts w:ascii="Times New Roman;sans-serif" w:hAnsi="Times New Roman;sans-serif"/>
          <w:b w:val="false"/>
          <w:color w:val="000000"/>
          <w:sz w:val="22"/>
          <w:u w:val="single"/>
        </w:rPr>
        <w:t>Unreimbursed Amount</w:t>
      </w:r>
      <w:r>
        <w:rPr>
          <w:color w:val="000000"/>
        </w:rPr>
        <w:t>”</w:t>
      </w:r>
      <w:r>
        <w:rPr>
          <w:rFonts w:ascii="Times New Roman;sans-serif" w:hAnsi="Times New Roman;sans-serif"/>
          <w:b w:val="false"/>
          <w:color w:val="000000"/>
          <w:sz w:val="22"/>
        </w:rPr>
        <w:t xml:space="preserve">) (expressed in Dollars based on the Dollar Equivalent amount thereof in the case of an Alternative Currency), and the amount of such Revolving Lender’s Applicable Percentage thereof. In such event, the Borrower shall be deemed to have requested an ABR Revolving Loan under the Revolving Facility under which such Letter of Credit was issued to be disbursed on the Honor Date in an amount equal to the Outstanding Amount of such LC Disbursement, without regard to the minimum and multiples specified in Section 2.03 for the principal amount of ABR Loans, but subject to the amount of the unutilized portion of the Revolving Commitments under the applicable Revolving Facility, and subject to the conditions set forth in Section 4.02 (other than the delivery of a Borrowing Request). Any notice given by an Issuing Bank or the Administrative Agent pursuant to this Section 2.05(a)(ix) may be given by telephone if immediately confirmed in writing;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lack of such an immediate confirmation shall not affect the conclusiveness or binding effect of such notice.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(x)    Each Revolving Lender (including any such Lender acting as an Issuing Bank) under the applicable Revolving Facility shall upon receipt of any notice made pursuant to Section 2.05(a)(ix) make funds available to the Administrative Agent for the account of the applicable Issuing Bank at the Administrative Agent’s Office for payments in an amount equal to its Applicable Percentage of any LC Disbursement that has not been reimbursed by the Borrower at or prior to 1:00 p.m. on the Business Day specified in such notice by the Administrative Agent, whereupon, subject to the provisions of Section </w:t>
      </w:r>
    </w:p>
    <w:p>
      <w:pPr>
        <w:pStyle w:val="TextBody"/>
        <w:bidi w:val="0"/>
        <w:spacing w:before="0" w:after="24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2.05(a)(xii), each Revolving Lender that so makes funds available shall be deemed to have made an ABR Revolving Loan to the Borrower in such amount. The Administrative Agent shall remit the funds so received to the applicable Issuing Bank and such funds shall be applied to repay the applicable LC Disbursement.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(xi)    With respect to any LC Disbursement that is not fully reimbursed by the Borrower and has not been refinanced by an ABR Revolving Loan because the applicable conditions set forth in Article IV cannot be satisfied or for any other reason, the Borrower shall be deemed to have incurred from the applicable Issuing Bank an LC Borrowing under the Revolving Facility under which such Letter of Credit was issued in the Outstanding Amount of the LC Disbursement that is not so reimbursed or refinanced, which LC Borrowing shall be due and payable on demand (together with interest) and shall bear interest at the rate specified in Section 2.11(c). In such event, each applicable Revolving Lender’s payment to the Administrative Agent for the account of the applicable Issuing Bank pursuant to Section 2.05(a)(x) shall be deemed payment in respect of its participation in such LC Borrowing and shall constitute an LC Advance from such Lender in satisfaction of its participation obligation under this Section 2.05.</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(xii)    Until a Revolving Lender funds its Revolving Loan or LC Advance pursuant to this Section 2.05(a) to reimburse the applicable Issuing Bank for any LC Disbursement, interest in respect of such Revolving Lender’s Applicable Percentage of such amount shall be solely for the account of the applicable Issuing Bank.</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(xiii)    Each Revolving Lender’s obligation to make Revolving Loans or LC Advances to reimburse the applicable Issuing Bank for LC Disbursements in respect of Letters of Credit issued under the applicable Revolving Facility that are not reimbursed by the Borrower as set forth herein, as contemplated by this Section 2.05(a), shall be absolute and unconditional and shall not be affected by any circumstance, including (A) any setoff, counterclaim, recoupment, defense or other right which such Lender may have against any Issuing Bank, the Borrower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each Revolving Lender’s obligation to make Revolving Loans pursuant to this Section 2.05(a) is subject to the conditions set forth in Section 4.02 (other than delivery by the Borrower of a Borrowing Request). No such making of an LC Advance shall relieve or otherwise impair the obligation of the Borrower to reimburse the applicable Issuing Bank for the amount of any payment made by such Issuing Bank under any Letter of Credit, together with interest as provided herein.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(xiv)    If any Revolving Lender fails to make available to the Administrative Agent for the account of an Issuing Bank any amount required to be paid by such Lender pursuant to the foregoing provisions of this Section 2.05(a) by the time specified in Section 2.05(a)(x),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plus any administrative, processing or similar fees customarily charged by such Issuing Bank in connection with the foregoing. A certificate of an Issuing Bank submitted to any Revolving Lender (through the Administrative Agent) with respect to any amounts owing under this Section 2.05(a)(xiv) shall be conclusive absent manifest error.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(xv)    If any Revolving Lender becomes a Defaulting Lender following the issuance of any Letter of Credit, then subject to the provisions of Section 2.19, the Borrower will promptly deposit Cash Collateral with the Administrative Agent in an amount equal to the Fronting Exposure to such Defaulting </w:t>
      </w:r>
    </w:p>
    <w:p>
      <w:pPr>
        <w:pStyle w:val="TextBody"/>
        <w:bidi w:val="0"/>
        <w:spacing w:before="0" w:after="24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Lender which Cash Collateral shall be held by the Administrative Agent to secure such Defaulting Lender’s obligations to participate in such Letter of Credit (and, if any Cash Collateral remains following the return or expiration of such Letter of Credit or such Lender ceasing to constitute a Defaulting Lender (including as a result of an assignment pursuant to Section 9.06), shall be returned to the Borrower promptly following such return or expiration).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Repayment of Participations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If, at any time after an Issuing Bank has made a payment under any Letter of Credit and has received from any Revolving Lender such Lender’s LC Advance in respect of such payment in accordance with Section 2.05(a), the Administrative Agent receives for the account of such Issuing Bank any payment in respect of the related LC Disbursement or interest thereon (whether directly from the Borrower or otherwise, including proceeds of Cash Collateral applied thereto by the Administrative Agent), the Administrative Agent will distribute to such Revolving Lender its Applicable Percentage thereof (appropriately adjusted, in the case of interest payments, to reflect the period of time during which such Lender’s LC Advance was outstanding) in the same funds as those received by the Administrative Agent.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    If any payment received by the Administrative Agent for the account of an Issuing Bank pursuant to Section 2.05(a)(x) is required to be returned under any of the circumstances described in Section 9.03 (including pursuant to any settlement entered into by such Issuing Bank in its discretion), each Revolving Lender shall pay to the Administrative Agent for the account of such Issuing Bank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Revolving Lenders under this clause (b)(ii) shall survive the payment in full of the Obligations and the termination of this Agreement.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The obligation of the Borrower to reimburse the applicable Issuing Bank for each LC Disbursement and to repay each LC Borrowing shall be absolute, unconditional and irrevocable, and shall be paid strictly in accordance with the terms of this Agreement under all circumstances, including the following: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any lack of validity or enforceability of such Letter of Credit, this Agreement, or any other Loan Document;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existence of any claim, counterclaim, setoff, defense or other right that the Borrower or any Subsidiary may have at any time against any beneficiary or any transferee of such Letter of Credit (or any Person for whom any such beneficiary or any such transferee may be acting), any Issuing Bank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24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any payment by an Issuing Bank under such Letter of Credit against presentation of a draft or certificate that does not strictly comply with the terms of such Letter of Credit; or any payment made by an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bankruptcy or insolvency proceeding;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any adverse change in the relevant exchange rates or in the availability of the relevant Alternative Currency to the Borrower or any Subsidiary or in the relevant currency markets generally; or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any other circumstance or happening whatsoever, whether or not similar to any of the foregoing, including any other circumstance that might otherwise constitute a defense available to, or a discharge of, the Borrower;</w:t>
      </w:r>
    </w:p>
    <w:p>
      <w:pPr>
        <w:pStyle w:val="TextBody"/>
        <w:bidi w:val="0"/>
        <w:spacing w:lineRule="auto" w:line="288" w:before="0" w:after="240"/>
        <w:jc w:val="left"/>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shall not excuse any Issuing Bank from liability to the Borrower to the extent of any direct damages (as opposed to consequential damages, claims in respect of which are waived by the Borrower to the extent permitted by any Requirement of Law) suffered by the Borrower that are caused by such Issuing Bank’s failure to exercise care when determining whether drafts and other documents presented under a Letter of Credit comply with the terms thereof, or acts or omissions by such Issuing Bank constituting gross negligence or willful misconduct by, such Issuing Bank.</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(d)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    If (i) any Event of Default occurs and is continuing and the Required Lenders require the Borrower to Cash Collateralize the LC Exposure or (ii) an Event of Default pursuant to clause (h) or (i) of Article VII occurs and is continuing, then the Borrower shall Cash Collateralize the LC Exposure (in an amount equal to the Outstanding Amount thereof determined as of the date of such Event of Default), and </w:t>
      </w:r>
    </w:p>
    <w:p>
      <w:pPr>
        <w:pStyle w:val="TextBody"/>
        <w:bidi w:val="0"/>
        <w:spacing w:before="0" w:after="24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shall do so not later than 2:00 p.m., New York City time, on (x) in the case of the immediately preceding clause (i), (1) the Business Day that the Borrower receives notice thereof, if such notice is received on such day prior to 12:00 Noon, New York City time, or (2) if clause (1) above does not apply, the Business Day immediately following the day that the Borrower receives such notice and (y) in the case of the immediately preceding clause (ii), the Business Day on which an Event of Default set forth under clause (h) or (i) occurs or, if such day is not a Business Day, the Business Day immediately succeeding such day. For purposes hereof, “</w:t>
      </w:r>
      <w:r>
        <w:rPr>
          <w:rFonts w:ascii="Times New Roman;sans-serif" w:hAnsi="Times New Roman;sans-serif"/>
          <w:b w:val="false"/>
          <w:color w:val="000000"/>
          <w:sz w:val="22"/>
          <w:u w:val="single"/>
        </w:rPr>
        <w:t>Cash Collateralize</w:t>
      </w:r>
      <w:r>
        <w:rPr>
          <w:color w:val="000000"/>
        </w:rPr>
        <w:t xml:space="preserve">” </w:t>
      </w:r>
      <w:r>
        <w:rPr>
          <w:rFonts w:ascii="Times New Roman;sans-serif" w:hAnsi="Times New Roman;sans-serif"/>
          <w:b w:val="false"/>
          <w:color w:val="000000"/>
          <w:sz w:val="22"/>
        </w:rPr>
        <w:t>means to pledge and deposit with or deliver to the Administrative Agent, for the benefit of the applicable Issuing Bank and the applicable Revolving Lenders, as collateral for the LC Exposure, cash or deposit account balances (“</w:t>
      </w:r>
      <w:r>
        <w:rPr>
          <w:rFonts w:ascii="Times New Roman;sans-serif" w:hAnsi="Times New Roman;sans-serif"/>
          <w:b w:val="false"/>
          <w:color w:val="000000"/>
          <w:sz w:val="22"/>
          <w:u w:val="single"/>
        </w:rPr>
        <w:t>Cash Collateral</w:t>
      </w:r>
      <w:r>
        <w:rPr>
          <w:color w:val="000000"/>
        </w:rPr>
        <w:t>”</w:t>
      </w:r>
      <w:r>
        <w:rPr>
          <w:rFonts w:ascii="Times New Roman;sans-serif" w:hAnsi="Times New Roman;sans-serif"/>
          <w:b w:val="false"/>
          <w:color w:val="000000"/>
          <w:sz w:val="22"/>
        </w:rPr>
        <w:t>) pursuant to documentation in form and substance reasonably satisfactory to the Administrative Agent and the applicable Issuing Bank (which documents are hereby consented to by the applicable Revolving Lenders). Derivatives of such term have corresponding meanings. The Borrower hereby grants to the Administrative Agent, for the benefit of the Issuing Banks and the Revolving Lenders, a security interest in all such cash, deposit accounts and all balances therein and all proceeds of the foregoing. Cash Collateral shall be maintained in blocked accounts at the Administrative Agent and may be invested in readily available Cash Equivalents selected by the Administrative Agent in its sole discretion. The Administrative Agent may, at any time and from time to time after the initial deposit of Cash Collateral, request that additional Cash Collateral be provided in order to protect against the results of exchange rate fluctuations. Upon the drawing of any Letter of Credit for which funds are on deposit as Cash Collateral, such funds shall be applied, to the extent permitted under applicable law, to reimburse the applicable Issuing Bank. To the extent the amount of any Cash Collateral exceeds the then Outstanding Amount of such LC Exposure (or, in the case of Cash Collateral deposited in respect of Fronting Exposure, such Fronting Exposure) and so long as no Event of Default has occurred and is continuing, the excess shall be refunded to the Borrower within three days of the date that such excess accrues together with all interest, if any, that has accrued on such amount. If such Event of Default is cured or waived and no other Event of Default is then occurring and continuing, the amount of any Cash Collateral shall be refunded to the Borrower within three days of the occurrence of such cure or waiver together with all interest, if any, that has accrued on such amount.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Applicability of ISP</w:t>
      </w:r>
      <w:r>
        <w:rPr>
          <w:rFonts w:ascii="Times New Roman;sans-serif" w:hAnsi="Times New Roman;sans-serif"/>
          <w:b w:val="false"/>
          <w:color w:val="000000"/>
          <w:sz w:val="22"/>
        </w:rPr>
        <w:t>. Unless otherwise expressly agreed by the relevant Issuing Bank and the Borrower when a Letter of Credit is issued, the rules of the ISP shall apply to each Letter of Credit.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Conflict with Letter of Credit Application</w:t>
      </w:r>
      <w:r>
        <w:rPr>
          <w:rFonts w:ascii="Times New Roman;sans-serif" w:hAnsi="Times New Roman;sans-serif"/>
          <w:b w:val="false"/>
          <w:color w:val="000000"/>
          <w:sz w:val="22"/>
        </w:rPr>
        <w:t>. Notwithstanding anything else to the contrary in any Letter of Credit Application, in the event of any conflict between the terms hereof and the terms of any Letter of Credit Application, the terms hereof shall control.</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Letters of Credit Issued for Subsidiaries</w:t>
      </w:r>
      <w:r>
        <w:rPr>
          <w:rFonts w:ascii="Times New Roman;sans-serif" w:hAnsi="Times New Roman;sans-serif"/>
          <w:b w:val="false"/>
          <w:color w:val="000000"/>
          <w:sz w:val="22"/>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Addition of an Issuing Bank</w:t>
      </w:r>
      <w:r>
        <w:rPr>
          <w:rFonts w:ascii="Times New Roman;sans-serif" w:hAnsi="Times New Roman;sans-serif"/>
          <w:b w:val="false"/>
          <w:color w:val="000000"/>
          <w:sz w:val="22"/>
        </w:rPr>
        <w:t>. A Revolving Lender may become an additional Issuing Bank hereunder pursuant to a written agreement between the Borrower and such Revolving Lender and with the consent of the Administrative Agent (not to be unreasonably withheld or delayed). The Administrative Agent shall notify the Revolving Lenders of any such additional Issuing Bank.</w:t>
      </w:r>
    </w:p>
    <w:p>
      <w:pPr>
        <w:pStyle w:val="TextBody"/>
        <w:bidi w:val="0"/>
        <w:spacing w:before="0" w:after="24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Rollover of Existing Letters of Credit</w:t>
      </w:r>
      <w:r>
        <w:rPr>
          <w:rFonts w:ascii="Times New Roman;sans-serif" w:hAnsi="Times New Roman;sans-serif"/>
          <w:b w:val="false"/>
          <w:color w:val="000000"/>
          <w:sz w:val="22"/>
        </w:rPr>
        <w:t>. Each of the Existing Letters of Credit outstanding under the Existing Credit Agreement on the Closing Date immediately prior to the effectiveness of this Agreement shall be deemed to be issued by the Issuing Bank thereof as Tranche A Letters of Credit under this Agreement on the Closing Date.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2.06    </w:t>
      </w:r>
      <w:r>
        <w:rPr>
          <w:rFonts w:ascii="Times New Roman;sans-serif" w:hAnsi="Times New Roman;sans-serif"/>
          <w:b w:val="false"/>
          <w:color w:val="000000"/>
          <w:sz w:val="22"/>
          <w:u w:val="single"/>
        </w:rPr>
        <w:t>Termination and Reduction of Commitments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Unless previously terminated, the Revolving Commitments shall terminate on the Maturity Date.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(b)    The Borrower may at any time terminate, or from time to time reduce, the Commitments of any Class;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each reduction of the Commitments of any Class shall be in an amount that is an integral multiple of $1,000,000 and not less than $5,000,000 or if less, the entire remaining amount, (ii) the Borrower shall not terminate or reduce either Class of the Revolving Commitments if, after giving effect to any concurrent prepayment of the Revolving Loans of such Class in accordance with Section 2.09, the aggregate Revolving Exposures of such Class (excluding, in the case of any termination of the Revolving A Commitments or the Revolving B Commitments, the portion of the Revolving A Exposures or Revolving B Exposures attributable to outstanding Tranche A Letters of Credit or Tranche B Letters of Credit, as applicable, if and to the extent that the Borrower has made arrangements satisfactory to the Administrative Agent and each applicable Issuing Bank with respect to such Tranche A Letters of Credit or Tranche B Letters of Credit, as applicable, and each applicable Issuing Bank has released the Revolving Lenders of such Class from their participation obligations with respect to such Tranche A Letters of Credit or Tranche B Letters of Credit, as applicable) would exceed the aggregate Revolving Commitments of such Class or (iii) except in the case of a disproportionate reduction of the Revolving A Commitments at any time that the aggregate Revolving B Commitments are $200,000,000 or less, each reduction of the Revolving Commitments under any Facility shall be accompanied by a pro rata reduction in the Revolving Commitments under the other Facility (based on the aggregate principal amount of Revolving Commitments under each Facility immediately prior to each such reduction).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(c)    The Borrower shall notify the Administrative Agent of any election to terminate or reduce the Commitments under paragraph (b) of this Section 2.06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2.06 shall be irrevocable;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notice of termination of the Commitments of any Class delivered by the Borrower may state that such notice is conditioned upon the effectiveness of other credit facilities or the receipt of proceeds from the issuance of other Indebtedness, in which case such notice may be revoked by the Borrower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2.07    </w:t>
      </w:r>
      <w:r>
        <w:rPr>
          <w:rFonts w:ascii="Times New Roman;sans-serif" w:hAnsi="Times New Roman;sans-serif"/>
          <w:b w:val="false"/>
          <w:color w:val="000000"/>
          <w:sz w:val="22"/>
          <w:u w:val="single"/>
        </w:rPr>
        <w:t>Repayment of Loans; Evidence of Debt</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Borrower hereby unconditionally promises to pay to the Administrative Agent for the account of each Lender the then unpaid principal amount of each Revolving Loan of such Lender on the Maturity Date in the currency in which such Revolving Loan is denominated.</w:t>
      </w:r>
    </w:p>
    <w:p>
      <w:pPr>
        <w:pStyle w:val="TextBody"/>
        <w:bidi w:val="0"/>
        <w:spacing w:before="0" w:after="24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The Administrative Agent, acting for this purpose as a non-fiduciary agent of the Borrower, shall maintain accounts in which it shall record (i) the amount of each Loan made hereunder, the currency, Class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(d)    Absent manifest error, the entries made in the accounts maintained pursuant to paragraph (b) or (c) of this Section 2.07 shall be </w:t>
      </w:r>
      <w:r>
        <w:rPr>
          <w:rFonts w:ascii="Times New Roman;sans-serif" w:hAnsi="Times New Roman;sans-serif"/>
          <w:b w:val="false"/>
          <w:color w:val="000000"/>
          <w:sz w:val="22"/>
          <w:u w:val="single"/>
        </w:rPr>
        <w:t>prima</w:t>
      </w:r>
      <w:r>
        <w:rPr>
          <w:color w:val="000000"/>
        </w:rPr>
        <w:t xml:space="preserve"> </w:t>
      </w:r>
      <w:r>
        <w:rPr>
          <w:rFonts w:ascii="Times New Roman;sans-serif" w:hAnsi="Times New Roman;sans-serif"/>
          <w:b w:val="false"/>
          <w:color w:val="000000"/>
          <w:sz w:val="22"/>
          <w:u w:val="single"/>
        </w:rPr>
        <w:t>facie</w:t>
      </w:r>
      <w:r>
        <w:rPr>
          <w:color w:val="000000"/>
        </w:rPr>
        <w:t xml:space="preserve"> </w:t>
      </w:r>
      <w:r>
        <w:rPr>
          <w:rFonts w:ascii="Times New Roman;sans-serif" w:hAnsi="Times New Roman;sans-serif"/>
          <w:b w:val="false"/>
          <w:color w:val="000000"/>
          <w:sz w:val="22"/>
        </w:rPr>
        <w:t xml:space="preserve">evidence of the existence and amounts of the obligations recorded therein;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of any Lender or the Administrative Agent to maintain such accounts or any error therein shall not in any manner affect the obligation of the Borrower to repay the Loans and pay interest thereon in accordance with the terms of this Agreement.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Any Lender may request that Loans of any Class made by it be evidenced by a promissory note. In such event, the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such payee and its registered assigns.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2.08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2.09    </w:t>
      </w:r>
      <w:r>
        <w:rPr>
          <w:rFonts w:ascii="Times New Roman;sans-serif" w:hAnsi="Times New Roman;sans-serif"/>
          <w:b w:val="false"/>
          <w:color w:val="000000"/>
          <w:sz w:val="22"/>
          <w:u w:val="single"/>
        </w:rPr>
        <w:t>Prepayment of Loans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Borrower shall have the right at any time and from time to time to prepay any Borrowing under either Revolving Facility in whole or in part, subject to the requirements of this Section 2.09.</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In the event and on such occasion that: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the aggregate Revolving A Exposures or aggregate Revolving B Exposures exceed 100% of the aggregate Revolving Commitments of the applicable Class, the Borrower shall prepay, within one Business Day of the Administrative Agent’s delivery to the Borrower of written notice thereof, Revolving Loans of such Class (or, if no such Borrowings are outstanding, Cash Collateralize Letters of Credit of such Class pursuant to Section 2.05(e)) in an aggregate amount equal to the amount by which such Revolving Exposures exceed the aggregate Revolving Commitments of such Class;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(ii)    the aggregate amount of Revolving Loans and Letters of Credit denominated in an Alternative Currency exceeds 105% of the Alternative Currency Sublimit, the Borrower shall prepay, within three Business Days of the Administrative Agent’s delivery to the Borrower of written notice thereof, such Revolving Loans (or, if no such Borrowings are outstanding, Cash Collateralize such Letters of Credit pursuant to Section 2.05(e)) in an aggregate amount equal to </w:t>
      </w:r>
    </w:p>
    <w:p>
      <w:pPr>
        <w:pStyle w:val="TextBody"/>
        <w:bidi w:val="0"/>
        <w:spacing w:before="0" w:after="24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amount by which the aggregate amount of Revolving Loans and Letters of Credit denominated in an Alternative Currency exceeds the Alternative Currency Sublimit.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(c)    In connection with any optional prepayment pursuant to Section 2.09(a), the Borrower shall notify the Administrative Agent by telephone (confirmed by any approved form of electronic communication or otherwise in writing) of any prepayment hereunder (i) in the case of prepayment of a Benchmark Borrowing denominated in Dollars, not later than 12:00 p.m., New York City time, two Business Days before the date of prepayment, (ii) in the case of prepayment of a Benchmark Borrowing denominated in an Alternative Currency, not later than 12:00 p.m., New York City time, four Business Days before the date of prepayment, (iii) in the case of prepayment of an ABR Borrowing or Daily Simple SOFR Borrowing of a Revolving A Loan, not later than 12:00 p.m., New York City time, one Business Day before the date of prepayment or (iv) in the case of prepayment of an ABR Borrowing or Daily Simple SOFR Borrowing of a Revolving B Loan, not later than 1:00 p.m., New York City time, on the date of prepayment. Each such notice shall be irrevocable and shall specify the prepayment date, Class of Loans to be prepaid and the principal amount of each Borrowing or Borrowings or portion thereof to be prepaid;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notice of optional prepayment may state that such notice is conditional upon the occurrence of an event specified therein, in which case such notice of prepayment may be revoked by the Borrower (by notice to the Administrative Agent on or prior to 12:00 noon New York City time, on the specified date) if such condition is not satisfied;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that each such notice must be in a form reasonably acceptable to the Administrative Agent.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2.03(a), except as necessary to apply fully the required amount of a mandatory prepayment. Each prepayment of a Borrowing shall be applied ratably to the Loans included in the prepaid Borrowing; provided that during the continuance of an Event of Default, each prepayment shall be applied pro rata among each Class of Loans. Prepayments shall be accompanied by accrued interest to the extent required by Section 2.11, except in the case of partial prepayment of ABR Loans or Daily Simple SOFR Loans, which interest shall be payable on the next scheduled Interest Payment Date.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2.10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    Subject to Section 2.19, the Borrower agrees to pay to the Administrative Agent for the account of each Revolving Lender a facility fee in Dollars (the “</w:t>
      </w:r>
      <w:r>
        <w:rPr>
          <w:rFonts w:ascii="Times New Roman;sans-serif" w:hAnsi="Times New Roman;sans-serif"/>
          <w:b w:val="false"/>
          <w:color w:val="000000"/>
          <w:sz w:val="22"/>
          <w:u w:val="single"/>
        </w:rPr>
        <w:t>Facility Fee</w:t>
      </w:r>
      <w:r>
        <w:rPr>
          <w:color w:val="000000"/>
        </w:rPr>
        <w:t>”</w:t>
      </w:r>
      <w:r>
        <w:rPr>
          <w:rFonts w:ascii="Times New Roman;sans-serif" w:hAnsi="Times New Roman;sans-serif"/>
          <w:b w:val="false"/>
          <w:color w:val="000000"/>
          <w:sz w:val="22"/>
        </w:rPr>
        <w:t>), which shall accrue at the Applicable Rate on the actual daily amount of the Revolving Commitment of such Lender during the period from and including the Closing Date to but excluding the date on which the Revolving Commitments terminate (and following the termination of the Revolving Commitments, such fee shall be payable on the Revolving Exposure of each Revolving Lender until such Revolving Exposure is reduced to zero). Accrued facility fees shall be payable in arrears on the third Business Day following the last day of March, June, September and December of each year (accruing through the last day of each month) and on the date on which the Revolving Commitments terminate, commencing on the first such date to occur after the Closing Date. All facility fees shall be computed on the basis of a year of 360 days and shall be payable for the actual number of days elapsed (including the first day but excluding the last day).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Subject to Section 2.19, the Borrower agrees to pay (i) to the Administrative Agent for the account of each Revolving Lender a participation fee in Dollars with respect to its participations in Letters of Credit, which shall accrue at the same Applicable Rate used to determine the interest rate applicable to Benchmark Loans on the actual daily Outstanding Amount of such Lender’s LC Exposure (excluding any portion thereof attributable to unreimbursed LC Disbursements or LC Borrowings) during </w:t>
      </w:r>
    </w:p>
    <w:p>
      <w:pPr>
        <w:pStyle w:val="TextBody"/>
        <w:bidi w:val="0"/>
        <w:spacing w:before="0" w:after="24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the period from and including the Closing Date to but excluding the later of the date on which such Lender’s Revolving Commitment terminates and the date on which such Lender ceases to have any LC Exposure, and (ii) to each applicable Issuing Bank a fronting fee in Dollars, which shall accrue at the rate per annum specified in the Fee Letter (or such other rate agreed to from time to time between the Borrower and such Issuing Bank) on the actual daily amount of the LC Exposure (excluding any portion thereof attributable to unreimbursed LC Disbursements or LC Borrowings) under any Letter of Credit issued by such Issuing Bank during the period from and including the Closing Date to but excluding the later of the date of termination of the Revolving Commitments and the date on which there ceases to be any LC Exposure under any Letter of Credit issued by such Issuing Bank, as well as each Issuing Bank’s standard fees with respect to the issuance, amendment, renewal or extension of any Letter of Credit or processing of drawings thereunder (clauses (i) and (ii), collectively, the “</w:t>
      </w:r>
      <w:r>
        <w:rPr>
          <w:rFonts w:ascii="Times New Roman;sans-serif" w:hAnsi="Times New Roman;sans-serif"/>
          <w:b w:val="false"/>
          <w:color w:val="000000"/>
          <w:sz w:val="22"/>
          <w:u w:val="single"/>
        </w:rPr>
        <w:t>Letter of Credit Fees</w:t>
      </w:r>
      <w:r>
        <w:rPr>
          <w:color w:val="000000"/>
        </w:rPr>
        <w:t>”</w:t>
      </w:r>
      <w:r>
        <w:rPr>
          <w:rFonts w:ascii="Times New Roman;sans-serif" w:hAnsi="Times New Roman;sans-serif"/>
          <w:b w:val="false"/>
          <w:color w:val="000000"/>
          <w:sz w:val="22"/>
        </w:rPr>
        <w:t xml:space="preserve">). Participation fees and fronting fees accrued pursuant to this Section 2.10(b) through and including the last day of March, June, September and December of each year shall be payable on the third Business Day following such last day, commencing on the first such date to occur after the Closing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all such fees shall be payable on the date on which the Revolving Commitments terminate and any such fees accruing after the date on which the Revolving Commitments terminate shall be payable on demand. Any other fees payable to any Issuing Bank pursuant to this paragraph (b) shall be payable within 10 Business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The Borrower agrees to pay on the Closing Date to each Lender party to this Agreement on the Closing Date, as fee compensation for the making of such Lender’s Revolving Commitment, an upfront fee on the Closing Date in an amount as separately agreed among the Arrangers and the Borrower. Such fee will be in all respects fully earned, due and payable on the Closing Date and non-refundable and non-creditable thereafter.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The Borrower agrees to pay to the Administrative Agent, for its own account, fees payable in the amounts and at the times separately agreed upon between the Borrower and the Administrative Agent in the Fee Letter (or such other amount agreed to from time to time by the Administrative Agent and the Borrower).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All fees payable hereunder shall be paid on the dates due, in immediately available funds in the currency specified herein (or, if no currency is specified, in Dollars), to the Administrative Agent (or to the applicable Issuing Bank, in the case of fees payable to it) for distribution, in the case of commitment fees, upfront fees and participation fees, to the Lenders entitled thereto. Fees paid shall not be refundable under any circumstances, absent manifest error.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2.11    </w:t>
      </w:r>
      <w:r>
        <w:rPr>
          <w:rFonts w:ascii="Times New Roman;sans-serif" w:hAnsi="Times New Roman;sans-serif"/>
          <w:b w:val="false"/>
          <w:color w:val="000000"/>
          <w:sz w:val="22"/>
          <w:u w:val="single"/>
        </w:rPr>
        <w:t>Interest</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Loans comprising each ABR Borrowing shall bear interest at the Base Rate plus the Applicable Rate. In addition, if at any time any Loans are maintained as ABR Loans, the Borrower agrees that within 10 Business Days after receiving any request from any Non-ABR Lender (but not more frequently than quarterly for any Lender), the Borrower will pay such Non-ABR Lender the ABR Gross-Up Amount with respect to the ABR Loans of such Non-ABR Lender. The Loans comprising each Daily Simple SOFR Borrowing shall bear interest at Daily Simple SOFR plus the Applicable Rate.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Loans comprising each Benchmark Borrowing shall bear interest at the applicable Benchmark Rate for the Interest Period in effect for such Borrowing plus the Applicable Rate.</w:t>
      </w:r>
    </w:p>
    <w:p>
      <w:pPr>
        <w:pStyle w:val="TextBody"/>
        <w:bidi w:val="0"/>
        <w:spacing w:before="0" w:after="24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(c)    Notwithstanding the foregoing, (i) if any amount (other than principal of any Loan) payable by the Borrower hereunder (including any LC Disbursement or LC Borrowing) is not paid when due, whether at stated maturity, upon acceleration or otherwise, such amount shall bear interest, after as well as before judgment, at a rate per annum equal to 2.00%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rate applicable to ABR Revolving Loans as provided in paragraph (a) of this Section 2.11, (ii) if any principal of any Loan payable by the Borrower hereunder is not paid when due, whether at stated maturity, upon acceleration or otherwise, such overdue amount shall bear interest, after as well as before judgment, at a rate per annum equal to 2.00% plus the rate otherwise applicable to such Loan as provided in the preceding paragraphs of this Section 2.11, and (iii) upon the request of the Required Lenders, while any Event of Default exists, the Borrower shall pay interest on the principal amount of all outstanding Obligations hereunder at a rate per annum equal to 2.00% plus the rate otherwise applicable to such Loan as provided in the preceding paragraphs of this Section.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(d)    Accrued interest on each Loan shall be payable in arrears on each Interest Payment Date for such Loan and upon termination of the Revolving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interest accrued pursuant to paragraph (c) of this Section 2.11 shall be payable on demand, (ii) in the event of any repayment or prepayment of any Loan (other than a prepayment of an ABR Revolving Loan or Daily Simple SOFR Loan prior to the end of the Revolving Availability Period), accrued interest on the principal amount repaid or prepaid shall be payable on the date of such repayment or prepayment and (iii) in the event of any conversion of any Benchmark Loan prior to the end of the current Interest Period therefor, accrued interest on such Loan shall be payable on the effective date of such conversion.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(e)    All computations of interest for ABR Loans and Daily Simple SOFR Loans shall be made on the basis of a year of 365 or 366 days, as the case may be, and actual days elapsed (including ABR Loans determined by reference to the Benchmark Rate). All other computations of fees and interest shall be made on the basis of a 360-day year and actual days elapsed (which results in more fees or interest, as applicable, being paid than if computed on the basis of a 365-day year), or, in the case of interest in respect of Revolving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Loan that is repaid on the same day on which it is made shall, bear interest for one day. Each determination by the Administrative Agent of an interest rate or fee hereunder shall be conclusive and binding for all purposes, absent manifest error.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2.12    </w:t>
      </w:r>
      <w:r>
        <w:rPr>
          <w:rFonts w:ascii="Times New Roman;sans-serif" w:hAnsi="Times New Roman;sans-serif"/>
          <w:b w:val="false"/>
          <w:color w:val="000000"/>
          <w:sz w:val="22"/>
          <w:u w:val="single"/>
        </w:rPr>
        <w:t>Alternate Rate of Interest; Successor Rates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    If in connection with any request for a Term SOFR Loan, a Daily Simple SOFR Loan or an Alternative Currency Loan or a conversion of ABR Loans to Term SOFR Loans or Daily Simple SOFR Loans or a continuation of any of such Loans, as applicable, (i) the Administrative Agent determines (which determination shall be conclusive absent manifest error) that (A) no Successor Rate for the Applicable Reference Rate for the applicable Applicable Currency has</w:t>
      </w:r>
      <w:r>
        <w:rPr>
          <w:color w:val="000000"/>
        </w:rPr>
        <w:t xml:space="preserve"> </w:t>
      </w:r>
      <w:r>
        <w:rPr>
          <w:rFonts w:ascii="Times New Roman;sans-serif" w:hAnsi="Times New Roman;sans-serif"/>
          <w:b w:val="false"/>
          <w:color w:val="000000"/>
          <w:sz w:val="22"/>
        </w:rPr>
        <w:t xml:space="preserve">been determined in accordance with </w:t>
      </w:r>
      <w:r>
        <w:rPr>
          <w:rFonts w:ascii="Times New Roman;sans-serif" w:hAnsi="Times New Roman;sans-serif"/>
          <w:b w:val="false"/>
          <w:color w:val="000000"/>
          <w:sz w:val="22"/>
          <w:u w:val="single"/>
        </w:rPr>
        <w:t>Section 2.12(b)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2.12(c)</w:t>
      </w:r>
      <w:r>
        <w:rPr>
          <w:color w:val="000000"/>
        </w:rPr>
        <w:t xml:space="preserve"> </w:t>
      </w:r>
      <w:r>
        <w:rPr>
          <w:rFonts w:ascii="Times New Roman;sans-serif" w:hAnsi="Times New Roman;sans-serif"/>
          <w:b w:val="false"/>
          <w:color w:val="000000"/>
          <w:sz w:val="22"/>
        </w:rPr>
        <w:t xml:space="preserve">and the circumstances under clause (i) of </w:t>
      </w:r>
      <w:r>
        <w:rPr>
          <w:rFonts w:ascii="Times New Roman;sans-serif" w:hAnsi="Times New Roman;sans-serif"/>
          <w:b w:val="false"/>
          <w:color w:val="000000"/>
          <w:sz w:val="22"/>
          <w:u w:val="single"/>
        </w:rPr>
        <w:t>Section 2.12(b)</w:t>
      </w:r>
      <w:r>
        <w:rPr>
          <w:color w:val="000000"/>
        </w:rPr>
        <w:t xml:space="preserve"> </w:t>
      </w:r>
      <w:r>
        <w:rPr>
          <w:rFonts w:ascii="Times New Roman;sans-serif" w:hAnsi="Times New Roman;sans-serif"/>
          <w:b w:val="false"/>
          <w:color w:val="000000"/>
          <w:sz w:val="22"/>
        </w:rPr>
        <w:t xml:space="preserve">or of </w:t>
      </w:r>
      <w:r>
        <w:rPr>
          <w:rFonts w:ascii="Times New Roman;sans-serif" w:hAnsi="Times New Roman;sans-serif"/>
          <w:b w:val="false"/>
          <w:color w:val="000000"/>
          <w:sz w:val="22"/>
          <w:u w:val="single"/>
        </w:rPr>
        <w:t>Section 2.12(c)</w:t>
      </w:r>
      <w:r>
        <w:rPr>
          <w:color w:val="000000"/>
        </w:rPr>
        <w:t xml:space="preserve"> </w:t>
      </w:r>
      <w:r>
        <w:rPr>
          <w:rFonts w:ascii="Times New Roman;sans-serif" w:hAnsi="Times New Roman;sans-serif"/>
          <w:b w:val="false"/>
          <w:color w:val="000000"/>
          <w:sz w:val="22"/>
        </w:rPr>
        <w:t xml:space="preserve">or the Term SOFR Scheduled Unavailability Date or Alternative Currency Schedule Unavailability Date has occurred with respect to such Applicable Reference Rate (as applicable), or (B) adequate and reasonable means do not otherwise exist for determining the Applicable Reference Rate for the applicable Applicable Currency for any determination date(s) or requested Interest Period, as applicable, with respect to a proposed Term SOFR Loan, Daily Simple SOFR Loan or an Alternative Currency Loan or in connection with an existing or proposed ABR Loan, or (ii) the Administrative Agent or the Required Lenders determine that for any reason the Applicable Reference Rate with respect to a </w:t>
      </w:r>
    </w:p>
    <w:p>
      <w:pPr>
        <w:pStyle w:val="TextBody"/>
        <w:bidi w:val="0"/>
        <w:spacing w:before="0" w:after="24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proposed Loan denominated in an Applicable Currency for any requested Interest Period or determination date(s) does not adequately and fairly reflect the cost to such Lenders of funding such Loan, the Administrative Agent will promptly so notify the Borrower and each Lender.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Thereafter, (x) the obligation of the Lenders to make or maintain Loans in the affected currencies, as applicable, or to convert ABR Loans to Term SOFR Loans or Daily Simple SOFR Loans, shall be suspended in each case to the extent of the affected Term SOFR Loans, Daily Simple SOFR Loans, Alternative Currency Loans or Interest Period or determination date(s), as applicable, and (y) in the event of a determination described in the preceding sentence with respect to the Term SOFR component of the ABR, the utilization of the Term SOFR component in determining the ABR shall be suspended, in each case until the Administrative Agent (or, in the case of a determination by the Required Lenders described in clause (ii) of this </w:t>
      </w:r>
      <w:r>
        <w:rPr>
          <w:rFonts w:ascii="Times New Roman;sans-serif" w:hAnsi="Times New Roman;sans-serif"/>
          <w:b w:val="false"/>
          <w:color w:val="000000"/>
          <w:sz w:val="22"/>
          <w:u w:val="single"/>
        </w:rPr>
        <w:t>Section 2.12(a)</w:t>
      </w:r>
      <w:r>
        <w:rPr>
          <w:rFonts w:ascii="Times New Roman;sans-serif" w:hAnsi="Times New Roman;sans-serif"/>
          <w:b w:val="false"/>
          <w:color w:val="000000"/>
          <w:sz w:val="22"/>
        </w:rPr>
        <w:t>, until the Administrative Agent upon instruction of the Required Lenders) revokes such notice.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Upon receipt of such notice, (i) the Borrower may revoke any pending request for a Borrowing of, or conversion to Term SOFR Loans or Daily Simple SOFR Loans, or Borrowing of, or continuation of Alternative Currency Loans to the extent of the affected Term SOFR Loans, Daily Simple SOFR Loans, Alternative Currency Loans or Interest Period or determination date(s), as applicable or, failing that, will be deemed to have converted such request into a request for a Borrowing of ABR Loans in the Dollar Equivalent of the amount specified therein and (ii) (A) any outstanding Term SOFR Loans or Daily Simple SOFR Loans shall be deemed to have been converted to ABR Loans immediately and (B) any outstanding affected Alternative Currency Loans, at the Borrower’s election, shall either (1) be converted into a Borrowing of ABR Loans in the Dollar Equivalent of the amount of such outstanding Alternative Currency Loan immediately, in the case of a Loan denominated in Sterling or at the end of the applicable Interest Period, in the case of an Alternative Currency Loan not denominated in Sterling or (2) be prepaid in full immediately, in the case of a Loan denominated in Sterling, or at the end of the applicable Interest Period, in the case of an Alternative Currency Loan not denominated in Sterling;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no election is made by the Borrower (x) in the case of an Alternative Currency Loan denominated in Sterling, by the date that is three Business Days after receipt by the Borrower of such notice or (y) in the case of an Alternative Currency Loan not denominated in Sterling, by the last day of the current Interest Period for such Alternative Currency Loan, the Borrower shall be deemed to have elected clause (1) above.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Replacement of Term SOFR or Term SOFR Successor Rate</w:t>
      </w:r>
      <w:r>
        <w:rPr>
          <w:rFonts w:ascii="Times New Roman;sans-serif" w:hAnsi="Times New Roman;sans-serif"/>
          <w:b w:val="false"/>
          <w:color w:val="000000"/>
          <w:sz w:val="22"/>
        </w:rPr>
        <w:t>. Notwithstanding anything to the contrary in this Agreement or any other Loan Documents, if the Administrative Agent determines (which determination shall be conclusive absent manifest error), or the Borrower or the Required Lenders notify the Administrative Agent (with, in the case of the Required Lenders, a copy to the Borrower) that the Borrower or the Required Lenders (as applicable) have determined, that: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w:t>
      </w:r>
    </w:p>
    <w:p>
      <w:pPr>
        <w:pStyle w:val="TextBody"/>
        <w:bidi w:val="0"/>
        <w:spacing w:before="0" w:after="24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available, or permitted to be used for determining the interest rate of Dollar denominated syndicated loans, or shall or will otherwise cease,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sans-serif" w:hAnsi="Times New Roman;sans-serif"/>
          <w:b w:val="false"/>
          <w:color w:val="000000"/>
          <w:sz w:val="22"/>
          <w:u w:val="single"/>
        </w:rPr>
        <w:t>Term SOFR Scheduled Unavailability Date</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then, on a date and time determined by the Administrative Agent (in consultation with the Borrower) (any such date, the “</w:t>
      </w:r>
      <w:r>
        <w:rPr>
          <w:rFonts w:ascii="Times New Roman;sans-serif" w:hAnsi="Times New Roman;sans-serif"/>
          <w:b w:val="false"/>
          <w:color w:val="000000"/>
          <w:sz w:val="22"/>
          <w:u w:val="single"/>
        </w:rPr>
        <w:t>Term SOFR Replacement Date</w:t>
      </w:r>
      <w:r>
        <w:rPr>
          <w:color w:val="000000"/>
        </w:rPr>
        <w:t>”</w:t>
      </w:r>
      <w:r>
        <w:rPr>
          <w:rFonts w:ascii="Times New Roman;sans-serif" w:hAnsi="Times New Roman;sans-serif"/>
          <w:b w:val="false"/>
          <w:color w:val="000000"/>
          <w:sz w:val="22"/>
        </w:rPr>
        <w:t xml:space="preserve">), which date shall be, at the end of an Interest Period or on the relevant Interest Payment Date, as applicable, for interest calculated and, solely with respect to clause (ii) above, no later than the Term SOFR Scheduled Unavailability Date, Term SOFR will be replaced hereunder and under any other Loan Document with Daily Simple SOFR </w:t>
      </w:r>
      <w:r>
        <w:rPr>
          <w:rFonts w:ascii="Times New Roman;sans-serif" w:hAnsi="Times New Roman;sans-serif"/>
          <w:b w:val="false"/>
          <w:i/>
          <w:color w:val="000000"/>
          <w:sz w:val="22"/>
        </w:rPr>
        <w:t xml:space="preserve">plus </w:t>
      </w:r>
      <w:r>
        <w:rPr>
          <w:rFonts w:ascii="Times New Roman;sans-serif" w:hAnsi="Times New Roman;sans-serif"/>
          <w:b w:val="false"/>
          <w:color w:val="000000"/>
          <w:sz w:val="22"/>
        </w:rPr>
        <w:t>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sans-serif" w:hAnsi="Times New Roman;sans-serif"/>
          <w:b w:val="false"/>
          <w:color w:val="000000"/>
          <w:sz w:val="22"/>
          <w:u w:val="single"/>
        </w:rPr>
        <w:t>Term SOFR Successor Rate</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If the Term SOFR Successor Rate is Daily Simple SOFR plus the SOFR Adjustment, all interest will be payable on a monthly basis.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Notwithstanding anything to the contrary herein, (A) if the U.S. Administrative Agent determines that Daily Simple SOFR is not available on or prior to the Term SOFR Replacement Date, or (B) if the events or circumstances of the type described in </w:t>
      </w:r>
      <w:r>
        <w:rPr>
          <w:rFonts w:ascii="Times New Roman;sans-serif" w:hAnsi="Times New Roman;sans-serif"/>
          <w:b w:val="false"/>
          <w:color w:val="000000"/>
          <w:sz w:val="22"/>
          <w:u w:val="single"/>
        </w:rPr>
        <w:t>Section 2.12(b)(i)</w:t>
      </w:r>
      <w:r>
        <w:rPr>
          <w:color w:val="000000"/>
        </w:rPr>
        <w:t xml:space="preserve"> </w:t>
      </w:r>
      <w:r>
        <w:rPr>
          <w:rFonts w:ascii="Times New Roman;sans-serif" w:hAnsi="Times New Roman;sans-serif"/>
          <w:b w:val="false"/>
          <w:color w:val="000000"/>
          <w:sz w:val="22"/>
        </w:rPr>
        <w:t xml:space="preserve">or 2.12(b)(ii) have occurred with respect to the Term SOFR Successor Rate then in effect or Daily Simple SOFR, then in each case, the Administrative Agent and the Borrower may amend this Agreement and the other Loan Documents solely for the purpose of replacing Term SOFR, Daily Simple SOFR or any then current Term SOFR Successor Rate in accordance with this </w:t>
      </w:r>
      <w:r>
        <w:rPr>
          <w:rFonts w:ascii="Times New Roman;sans-serif" w:hAnsi="Times New Roman;sans-serif"/>
          <w:b w:val="false"/>
          <w:color w:val="000000"/>
          <w:sz w:val="22"/>
          <w:u w:val="single"/>
        </w:rPr>
        <w:t>Section 2.12(b)</w:t>
      </w:r>
      <w:r>
        <w:rPr>
          <w:color w:val="000000"/>
        </w:rPr>
        <w:t xml:space="preserve"> </w:t>
      </w:r>
      <w:r>
        <w:rPr>
          <w:rFonts w:ascii="Times New Roman;sans-serif" w:hAnsi="Times New Roman;sans-serif"/>
          <w:b w:val="false"/>
          <w:color w:val="000000"/>
          <w:sz w:val="22"/>
        </w:rPr>
        <w:t>at the end of any Interest Period, relevant Interest Payment Date or payment period for interest calculated, as applicable, with an alternative benchmark rate giving due consideration to any evolving or then existing convention for such alternative benchmark in similar Dollar denominated credit facilities syndicated and agented in the United States for such alternative benchmark and, in each case, including any mathematical or other adjustments to such benchmark giving due consideration to any evolving or then existing convention for such benchmark in similar Dollar denominated credit facilities syndicated and agented in the United States. For the avoidance of doubt, any such proposed rate and adjustments, shall constitute a “Term SOFR Successor Rate”. Any such amendment shall become effective at 5:00 p.m. (New York City time) on the fifth Business Day after the Administrative Agent shall have posted such proposed amendment to all Lenders and Borrower unless, prior to such time, Lenders comprising the Required Lenders have delivered to the Administrative Agent written notice that the Required Lenders object to such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Replacement of Applicable Reference Rate or Successor Rate for Alternative Currencies</w:t>
      </w:r>
      <w:r>
        <w:rPr>
          <w:rFonts w:ascii="Times New Roman;sans-serif" w:hAnsi="Times New Roman;sans-serif"/>
          <w:b w:val="false"/>
          <w:color w:val="000000"/>
          <w:sz w:val="22"/>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adequate and reasonable means do not exist for ascertaining the Applicable Reference Rate for an Alternative Currency because none of the tenors of such Applicable </w:t>
      </w:r>
    </w:p>
    <w:p>
      <w:pPr>
        <w:pStyle w:val="TextBody"/>
        <w:bidi w:val="0"/>
        <w:spacing w:before="0" w:after="24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Reference Rate under this Agreement is available or published on a current basis, and such circumstances are unlikely to be temporary; or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(ii)    the Applicable Authority has made a public statement identifying a specific date after which all tenors of the Applicable Reference Rate for an Alternative Currency under this Agreement shall or will no longer be representative or made available, or permitted to be used for determining the interest rate of syndicated loans denominated in such Alternative Currency, or shall or will otherwise cease,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each case, at the time of such statement, there is no successor administrator that is satisfactory to the Administrative Agent that will continue to provide such representative tenor(s) of the Applicable Reference Rate for such Alternative Currency (the latest date on which all tenors of the Applicable Reference Rate for such Alternative Currency under this Agreement are no longer representative or available permanently or indefinitely, the “</w:t>
      </w:r>
      <w:r>
        <w:rPr>
          <w:rFonts w:ascii="Times New Roman;sans-serif" w:hAnsi="Times New Roman;sans-serif"/>
          <w:b w:val="false"/>
          <w:color w:val="000000"/>
          <w:sz w:val="22"/>
          <w:u w:val="single"/>
        </w:rPr>
        <w:t>Alternative Currency Scheduled Unavailability Date</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jc w:val="left"/>
        <w:rPr/>
      </w:pPr>
      <w:r>
        <w:rPr>
          <w:rFonts w:ascii="Times New Roman;sans-serif" w:hAnsi="Times New Roman;sans-serif"/>
          <w:b w:val="false"/>
          <w:color w:val="000000"/>
          <w:sz w:val="22"/>
        </w:rPr>
        <w:t xml:space="preserve">or if the events or circumstances of the type described in </w:t>
      </w:r>
      <w:r>
        <w:rPr>
          <w:rFonts w:ascii="Times New Roman;sans-serif" w:hAnsi="Times New Roman;sans-serif"/>
          <w:b w:val="false"/>
          <w:color w:val="000000"/>
          <w:sz w:val="22"/>
          <w:u w:val="single"/>
        </w:rPr>
        <w:t>Section 2.12(c) (i)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have occurred with respect to the Alternative Currency Successor Rate then in effect, then, the Administrative Agent and the Borrower may amend this Agreement solely for the purpose of replacing the Applicable Reference Rate for an Alternative Currency or any then current Alternative Currency Successor Rate for an Alternative Currency in accordance with this </w:t>
      </w:r>
      <w:r>
        <w:rPr>
          <w:rFonts w:ascii="Times New Roman;sans-serif" w:hAnsi="Times New Roman;sans-serif"/>
          <w:b w:val="false"/>
          <w:color w:val="000000"/>
          <w:sz w:val="22"/>
          <w:u w:val="single"/>
        </w:rPr>
        <w:t>Section 2.12</w:t>
      </w:r>
      <w:r>
        <w:rPr>
          <w:color w:val="000000"/>
        </w:rPr>
        <w:t xml:space="preserve"> </w:t>
      </w:r>
      <w:r>
        <w:rPr>
          <w:rFonts w:ascii="Times New Roman;sans-serif" w:hAnsi="Times New Roman;sans-serif"/>
          <w:b w:val="false"/>
          <w:color w:val="000000"/>
          <w:sz w:val="22"/>
        </w:rPr>
        <w:t>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(and any such proposed rate, including for the avoidance of doubt, any adjustment thereto, an “</w:t>
      </w:r>
      <w:r>
        <w:rPr>
          <w:rFonts w:ascii="Times New Roman;sans-serif" w:hAnsi="Times New Roman;sans-serif"/>
          <w:b w:val="false"/>
          <w:color w:val="000000"/>
          <w:sz w:val="22"/>
          <w:u w:val="single"/>
        </w:rPr>
        <w:t>Alternative Currency Successor Rate</w:t>
      </w:r>
      <w:r>
        <w:rPr>
          <w:color w:val="000000"/>
        </w:rPr>
        <w:t>”</w:t>
      </w:r>
      <w:r>
        <w:rPr>
          <w:rFonts w:ascii="Times New Roman;sans-serif" w:hAnsi="Times New Roman;sans-serif"/>
          <w:b w:val="false"/>
          <w:color w:val="000000"/>
          <w:sz w:val="22"/>
        </w:rPr>
        <w:t>, and collectively with the Term SOFR Successor Rate, each a “</w:t>
      </w:r>
      <w:r>
        <w:rPr>
          <w:rFonts w:ascii="Times New Roman;sans-serif" w:hAnsi="Times New Roman;sans-serif"/>
          <w:b w:val="false"/>
          <w:color w:val="000000"/>
          <w:sz w:val="22"/>
          <w:u w:val="single"/>
        </w:rPr>
        <w:t>Successor Rate</w:t>
      </w:r>
      <w:r>
        <w:rPr>
          <w:color w:val="000000"/>
        </w:rPr>
        <w:t>”</w:t>
      </w:r>
      <w:r>
        <w:rPr>
          <w:rFonts w:ascii="Times New Roman;sans-serif" w:hAnsi="Times New Roman;sans-serif"/>
          <w:b w:val="false"/>
          <w:color w:val="000000"/>
          <w:sz w:val="22"/>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Successor Rate</w:t>
      </w:r>
      <w:r>
        <w:rPr>
          <w:rFonts w:ascii="Times New Roman;sans-serif" w:hAnsi="Times New Roman;sans-serif"/>
          <w:b w:val="false"/>
          <w:color w:val="000000"/>
          <w:sz w:val="22"/>
        </w:rPr>
        <w:t>. The Administrative Agent will promptly (in one or more notices) notify the Borrower and each Lender of the implementation of any Successor Rate.</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else herein, if at any time any Successor Rate as so determined would otherwise be less than 0.00%, the Successor Rate will be deemed to be 0.00% for the purposes of this Agreement and the other Loan Documents.</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implementation of a Successor Rate, the Administrative Agent (in consultation with the Borrower) will have the right to make Conforming Changes from time to time and, notwithstanding anything to the contrary herein or in any other Loan Document, any amendments implementing such Conforming Changes (subject to the Borrower’s consultation rights specified in the definition thereof) will become effective without any further action (other than consultation with the Borrower, as noted above) or consent of any other party to this Agreement; provided that, with respect to </w:t>
      </w:r>
    </w:p>
    <w:p>
      <w:pPr>
        <w:pStyle w:val="TextBody"/>
        <w:bidi w:val="0"/>
        <w:spacing w:before="0" w:after="24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any such amendment effected, the Administrative Agent shall post each such amendment implementing such Conforming Changes to the Borrower and the Lenders reasonably promptly after such amendment becomes effective.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(e)    For purposes of this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those Lenders that either have not made, or do not have an obligation under this Agreement to make, the relevant Loans in the relevant Alternative Currency shall be excluded from any determination of Required Lenders.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2.13    </w:t>
      </w:r>
      <w:r>
        <w:rPr>
          <w:rFonts w:ascii="Times New Roman;sans-serif" w:hAnsi="Times New Roman;sans-serif"/>
          <w:b w:val="false"/>
          <w:color w:val="000000"/>
          <w:sz w:val="22"/>
          <w:u w:val="single"/>
        </w:rPr>
        <w:t>Increased Costs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If any Change in Law shall:</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impose, modify or deem applicable any reserve, special deposit, compulsory loan, insurance charge or similar requirement against assets or liquidity of, deposits with or for the account of, or credit extended by, any Lender or any Issuing Bank (except any such reserve requirement contemplated by Section 2.13(e) other than as set forth below);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    impose on any Lender or any Issuing Bank or any applicable interbank market any other condition, cost or expense affecting this Agreement or Benchmark Loans made by such Lender or any Letter of Credit or participation therein; or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(iii)    subject any Lender or Issuing Bank to any Tax of any kind whatsoever with respect to any Loan Document, or any Loan made by it or any Letter of Credit or participation therein, except for (X) Indemnified Taxes or Other Taxes indemnified under Section 2.15, (Y) any penalties not indemnified under the first sentence of Section 2.15(c) and (Z) any Excluded Taxes;</w:t>
      </w:r>
    </w:p>
    <w:p>
      <w:pPr>
        <w:pStyle w:val="TextBody"/>
        <w:bidi w:val="0"/>
        <w:spacing w:lineRule="auto" w:line="288" w:before="0" w:after="240"/>
        <w:jc w:val="left"/>
        <w:rPr/>
      </w:pPr>
      <w:r>
        <w:rPr>
          <w:rFonts w:ascii="Times New Roman;sans-serif" w:hAnsi="Times New Roman;sans-serif"/>
          <w:b w:val="false"/>
          <w:color w:val="000000"/>
          <w:sz w:val="22"/>
        </w:rPr>
        <w:t xml:space="preserve">and the result of any of the foregoing shall be to increase the cost to such Lender of making or maintaining any Benchmark Loan (or, in the case of clause (iii), any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within the timeframe specified in Section 2.13(c), pay to such Lender or Issuing Bank, as the case may be, such additional amount or amounts as will compensate such Lender or Issuing Bank, as the case may be, for such additional costs incurred or reduction suffered;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no Lender or Issuing Bank shall be entitled to request compensation for any increased cost if it shall not be the general policy and practice of such Lender or Issuing Bank to seek compensation in similar circumstances under similar provisions in comparable credit facilities to the extent it is entitled to do so.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within the timeframe specified in Section 2.13(c), pay to such Lender or Issuing </w:t>
      </w:r>
    </w:p>
    <w:p>
      <w:pPr>
        <w:pStyle w:val="TextBody"/>
        <w:bidi w:val="0"/>
        <w:spacing w:before="0" w:after="24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Bank, as the case may be, such additional amount or amounts as will compensate such Lender or Issuing Bank or such Lender’s or Issuing Bank’s holding company for any such reduction suffered.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A certificate of a Lender or Issuing Bank setting forth in reasonable detail the basis for and the calculation of the amount or amounts necessary to compensate such Lender or Issuing Bank or its holding company, as the case may be, as specified in paragraph (a) or (b) of this Section 2.13 shall be delivered to the Borrower and shall be conclusive absent manifest error. The Borrower shall pay such Lender or Issuing Bank, as the case may be, the amount shown as due on any such certificate within 10 Business Days after receipt thereof.</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(d)    Failure or delay on the part of any Lender or Issuing Bank to demand compensation pursuant to this Section 2.13 shall not constitute a waiver of such Lender’s or Issuing Bank’s right to demand such compensation;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not be required to compensate a Lender or Issuing Bank pursuant to this Section 2.13 for any increased costs or reductions incurred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if the Change in Law giving rise to such increased costs or reductions is retroactive, then the 180-day period referred to above shall be extended to include the period of retroactive effect thereof.</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(e)    The Borrower shall pay to each Lender, (i) as long as such Lender shall be required to maintain reserves with respect to liabilities or assets consisting of or including Benchmark funds or deposits, additional interest on the unpaid principal amount of each Benchmark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Benchmark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or which interest is payable on such Loan;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the Borrower shall have received at least 10 Business Days’ prior notice (with a copy to the Administrative Agent) of such additional interest or costs from such Lender. If a Lender fails to give notice 10 Business Days prior to the relevant Interest Payment Date, such additional interest or costs shall be due and payable 10 Business Days from receipt of such notice.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2.14    </w:t>
      </w:r>
      <w:r>
        <w:rPr>
          <w:rFonts w:ascii="Times New Roman;sans-serif" w:hAnsi="Times New Roman;sans-serif"/>
          <w:b w:val="false"/>
          <w:color w:val="000000"/>
          <w:sz w:val="22"/>
          <w:u w:val="single"/>
        </w:rPr>
        <w:t>Break Funding Payments</w:t>
      </w:r>
      <w:r>
        <w:rPr>
          <w:rFonts w:ascii="Times New Roman;sans-serif" w:hAnsi="Times New Roman;sans-serif"/>
          <w:b w:val="false"/>
          <w:color w:val="000000"/>
          <w:sz w:val="22"/>
        </w:rPr>
        <w:t xml:space="preserve">. In the event of (a) the payment or prepayment of any principal of any Benchmark Loan other than on the last day of an Interest Period applicable thereto (including as a result of an Event of Default), (b) the conversion of any Benchmark Loan other than on the last day of the Interest Period applicable thereto, (c) the failure to borrow, convert, continue or prepay any Benchmark Loan on the date specified in any notice delivered pursuant hereto (regardless of whether such notice may be revoked under Section 2.09(c) and is revoked in accordance therewith) or (d) the assignment of any Benchmark Loan other than on the last day of the Interest Period applicable thereto as a result of a request by the Borrower pursuant to Section 2.17 or Section 9.02(b), then, in any such event, the Borrower shall compensate each applicable Lender for the loss, cost and expense attributable to such event (excluding loss of anticipated profits). Such loss, cost or expense to any Lender shall be deemed to include an amount determined by such Lender to be the excess, if any, of (i) the amount of interest that would have accrued on the principal amount of such Loan had such event not occurred, at the Benchmark Rate that would have been applicable to such Loan (excluding the Applicable Rate), for the period from </w:t>
      </w:r>
    </w:p>
    <w:p>
      <w:pPr>
        <w:pStyle w:val="TextBody"/>
        <w:bidi w:val="0"/>
        <w:spacing w:before="0" w:after="24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deposits in the applicable currency of a comparable amount and period from other banks in the applicable interbank market. A certificate of any Lender setting forth in reasonable detail any amount or amounts that such Lender is entitled to receive pursuant to this Section 2.14 shall be delivered to the Borrower and shall be conclusive absent manifest error. The Borrower shall pay such Lender the amount shown as due on any such certificate within 10 Business Days after receipt thereof.</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2.15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(a)    Any and all payments by or on account of any obligation of the Borrower under any Loan Document shall be made free and clear of and without deduction for any Indemnified Taxes or Other Taxes;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applicable withholding agent shall be required to deduct any Indemnified Taxes or Other Taxes from such payments, then (i) the sum payable by the Borrower shall be increased as necessary so that after all such required deductions have been made (including such deductions applicable to additional sums payable under this Section 2.15) the Administrative Agent, Lender or Issuing Bank (as the case may be) receives an amount equal to the sum it would have received had no such deductions been made, (ii) the applicable withholding agent shall make such deductions, and (iii) the applicable withholding agent shall pay the full amount deducted to the relevant Governmental Authority in accordance with applicable law.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Without limiting the provisions of paragraph (a) above, the Borrower shall timely pay any Other Taxes to the relevant Governmental Authority in accordance with applicable law.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The Borrower shall indemnify and hold harmless the Administrative Agent, each Lender and each Issuing Bank, within 10 Business Days after written demand therefor, for the full amount of any Indemnified Taxes imposed on or with respect to any payment by or on account of the Borrower under any Loan Document, and any Other Taxes, payable by the Administrative Agent, such Lender or Issuing Bank (including Indemnified Taxes or Other Taxes imposed or asserted on or attributable to amounts payable under this Section 2.15) and any reasonable expenses arising therefrom or with respect thereto, whether or not such Indemnified Taxes or Other Taxes were correctly or legally imposed or asserted by the relevant Governmental Authority, except for any penalties to the extent determined by a final judgment of a court of competent jurisdiction to have resulted from the gross negligence or willful misconduct of such Administrative Agent, Lender or Issuing Bank. The written demand shall be made in a certificate setting forth the amount of such Indemnified Taxes or Other Taxes and, in reasonable detail, the calculation and basis for such Indemnified Taxes or Other Taxes.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As soon as practicable after any payment of Indemnified Taxes or Other Taxes by the Borrower to a Governmental Authority, the Borrower shall deliver to the Administrative Agent the original or a certified copy of a receipt, if available, issued by such Governmental Authority evidencing such payment, a copy of the return reporting such payment or other evidence of such payment reasonably satisfactory to the Administrative Agent.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(i) Each Lender that is a United States person as defined in Section 7701(a)(30) of the Code shall deliver to the Borrower and the Administrative Agent on or before the date on which it becomes a party to this Agreement two duly completed and signed original copies of Internal Revenue Service Form W-9 certifying that such Lender is exempt from U.S. federal backup withholding.</w:t>
      </w:r>
    </w:p>
    <w:p>
      <w:pPr>
        <w:pStyle w:val="TextBody"/>
        <w:bidi w:val="0"/>
        <w:spacing w:before="0" w:after="240"/>
        <w:jc w:val="righ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    Each Lender that is a Foreign Lender shall deliver to the Borrower and the Administrative Agent on or before the date on which it becomes a party to this Agreement (and from time to time thereafter upon the request of the Borrower or the Administrative Agent) whichever of the following is applicable: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two duly completed signed original copies of Internal Revenue Service Form W-8BEN-E claiming eligibility for the benefits of an income tax treaty to which the United States is a party,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two duly completed signed original copies of Internal Revenue Service Form W-8ECI,</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(C)    in the case of a Foreign Lender claiming the benefits of the exemption for portfolio interest under Section 881(c) of the Code, (A) two duly completed signed original certificates substantially in the form of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(any such certificate a “</w:t>
      </w:r>
      <w:r>
        <w:rPr>
          <w:rFonts w:ascii="Times New Roman;sans-serif" w:hAnsi="Times New Roman;sans-serif"/>
          <w:b w:val="false"/>
          <w:color w:val="000000"/>
          <w:sz w:val="22"/>
          <w:u w:val="single"/>
        </w:rPr>
        <w:t>United States Tax Compliance Certificate</w:t>
      </w:r>
      <w:r>
        <w:rPr>
          <w:color w:val="000000"/>
        </w:rPr>
        <w:t>”</w:t>
      </w:r>
      <w:r>
        <w:rPr>
          <w:rFonts w:ascii="Times New Roman;sans-serif" w:hAnsi="Times New Roman;sans-serif"/>
          <w:b w:val="false"/>
          <w:color w:val="000000"/>
          <w:sz w:val="22"/>
        </w:rPr>
        <w:t>) and (B) two duly completed signed original copies of Internal Revenue Service Form W-8BEN-E, or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(D)    to the extent a Foreign Lender is not the beneficial owner (for example, where the Foreign Lender is a partnership, or is a Participant holding a participation granted by a participating Lender), two duly completed signed original copies of Internal Revenue Service Form W-8IMY, accompanied by a Form W-8ECI, W-8BEN, W-8BEN-E, United States Tax Compliance Certificate, Form W-9 or any other information from each beneficial owner that would be required under this Section 2.15(e) if such beneficial owner were a Lender,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Foreign Lender is a partnership (and not a participating Lender) and one or more beneficial owners of such Foreign Lender are claiming the portfolio interest exemption, such Foreign Lender may provide a U.S. Tax Compliance Certificate on behalf of each such beneficial owner.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(iii)    Without limitation of its obligations under paragraphs (i) or (ii), each Lender shall, at such time as reasonably requested by the Borrower or the Administrative Agent, provide the Borrower and the Administrative Agent with any other documentation prescribed by applicable law or reasonably requested by the Borrower or the Administrative Agent, properly completed and executed, as will permit payments made to such Lender under the Loan Documents to be made without or at a reduced rate of withholding tax.</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(iv)    Each Lender shall deliver to the Borrower and the Administrative Agent two further signed original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Borrower or the Administrative Agent, or promptly notify the Borrower and the Administrative Agent in writing that it is unable to do so. Each Lender shall promptly notify the Borrower and the Administrative Agent in writing at any time it determines that it is no longer in a position to provide any previously delivered form or certification to the Borrower or the Administrative Agent.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    Notwithstanding any other provision of this paragraph (e), a Lender shall not be required to deliver any form that such Lender is not legally eligible to deliver.</w:t>
      </w:r>
    </w:p>
    <w:p>
      <w:pPr>
        <w:pStyle w:val="TextBody"/>
        <w:bidi w:val="0"/>
        <w:spacing w:before="0" w:after="24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(vi)    The Administrative Agent in its capacity as such shall, to the extent it is legally eligible to do so, from time to time deliver to the Borrower a properly executed copy of Internal Revenue Service Form W-8IMY or W-9, as applicable.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(vii)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or to determine the amount, if any, to deduct and withhold from such payment. Solely for purposes of this clause (vii), “FATCA” shall include any amendments made to FATCA after the date of this Agreement.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Each Lender hereby authorizes the Administrative Agent to deliver to the Borrower and to any successor Administrative Agent any documentation provided by such Lender to the Administrative Agent pursuant to Section 2.15(e).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(g)    If the Administrative Agent, an Issuing Bank or a Lender determines, in its reasonable discretion, that it has received a refund of any Indemnified Taxes or Other Taxes as to which it has been indemnified by the Borrower or with respect to which the Borrower has paid additional amounts pursuant to this Section 2.15, it shall pay over such refund to the Borrower (but only to the extent of indemnity payments made, or additional amounts paid, by the Borrower under this Section 2.15 with respect to the Indemnified Taxes or Other Taxes giving rise to such refund), net of all reasonable expenses (including any Taxes) of the Administrative Agent, such Issuing Bank or such Lender and without interest (other than any interest paid by the relevant Governmental Authority with respect to such refund);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 upon the request of the Administrative Agent, such Issuing Bank or such Lender, agrees to repay the amount paid over to the Borrower (plus any penalties, interest or other charges imposed by the relevant Governmental Authority) to the Administrative Agent, such Issuing Bank or such Lender in the event the Administrative Agent, such Issuing Bank or such Lender is required to repay such refund to such Governmental Authority. This Section 2.15 shall not be construed to require the Administrative Agent, such Issuing Bank or any Lender to make available its tax returns (or any other information relating to its taxes that it deems confidential) to the Borrower or any other Person.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(h)    The Administrative Agent and each Lender shall use commercially reasonable efforts to cooperate with the Borrower in attempting to recover any Indemnified Taxes and Other Taxes that the Borrower reasonably asserts were improperly imposed if (i) in the reasonable judgment of the Administrative Agent or such Lender, as applicable, such cooperation would not subject the Administrative Agent or such Lender, as applicable, to any unreimbursed cost or expense or otherwise be materially disadvantageous to the Administrative Agent or such Lender, as applicable, and (ii) based on written advice of the Borrower’s independent accountants or external legal counsel delivered to such Administrative Agent or Lender, there is a reasonable basis for the Borrower to contest with the applicable Governmental Authority the imposition of such Indemnified Taxes or Other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any such attempts shall be at the sole cost of the Borrower and the Borrower shall indemnify the Administrative Agent and each Lender for any costs it incurs in connection with complying </w:t>
      </w:r>
    </w:p>
    <w:p>
      <w:pPr>
        <w:pStyle w:val="TextBody"/>
        <w:bidi w:val="0"/>
        <w:spacing w:before="0" w:after="24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 this Section 2.15(h). In such event, the applicable Administrative Agent or Lender shall only be required to pursue the applicable refund in a commercially reasonable manner, and at the Borrower’s sole cost and expense. In no event will this Section 2.15(h) relieve the Borrower of its obligation to pay any additional amounts or indemnification payments to the Administrative Agent or any Lender under this Section 2.15. Any refund obtained shall be repaid to the Borrower to the extent provided in Section 2.15(g).</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2.16    </w:t>
      </w:r>
      <w:r>
        <w:rPr>
          <w:rFonts w:ascii="Times New Roman;sans-serif" w:hAnsi="Times New Roman;sans-serif"/>
          <w:b w:val="false"/>
          <w:color w:val="000000"/>
          <w:sz w:val="22"/>
          <w:u w:val="single"/>
        </w:rPr>
        <w:t>Payments Generally; Pro Rata Treatment; Sharing of Setoffs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Borrower shall make each payment required to be made by it under any Loan Document (whether of principal, interest, fees or reimbursement of LC Borrowings or LC Disbursements, or of amounts payable under Section 2.13, 2.14 or 2.15, or otherwise) prior to the time expressly required hereunder or under such other Loan Document for such payment (or, if no such time is expressly required,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Office, except payments to be made directly to the applicable Issuing Bank as expressly provided herein and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Except as otherwise expressly provided herein and except with respect to principal of and interest on Loans denominated in an Alternative Currency, all payments by the Borrower hereunder shall be made to the Administrative Agent, for the account of the respective Lenders to which such payment is owed, at the applicable Administrative Agent’s Office in Dollars and in Same Day Funds.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If, for any reason, the Borrower is prohibited by any Requirement of Law from making any required payment hereunder in an Alternative Currency, the Borrower shall make such payment in Dollars in the Dollar Equivalent of the Alternative Currency payment amount. The Administrative Agent will promptly distribute to each Lender its pro rata (or other applicable share as provided herein) of such payment in like funds as received by wire transfer to such Lender’s lending office.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Subject to Section 2.16(e), if at any time insufficient funds are received by and available to the Administrative Agent to pay fully all amounts of principal, unreimbursed LC Borrowings and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Borrowings and LC Disbursements then due hereunder, ratably among the parties entitled thereto in accordance with the amounts of principal and unreimbursed LC Borrowings and LC Disbursements then due to such parties.</w:t>
      </w:r>
    </w:p>
    <w:p>
      <w:pPr>
        <w:pStyle w:val="TextBody"/>
        <w:bidi w:val="0"/>
        <w:spacing w:before="0" w:after="24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(c)    Subject to Section 2.16(e), if any Lender under either Facility shall, by exercising any right of setoff or counterclaim or otherwise, obtain payment in respect of any principal of or interest on any of its Revolving Loans or LC Advances resulting in such Lender receiving payment of a greater proportion of the aggregate amount of its Revolving Loans and LC Advances and accrued interest thereon than the proportion received by any other Lender under such Facility, then the Lender receiving such greater proportion shall purchase (for cash at face value) participations in the Revolving Loans and participations in LC Disbursements of other Lenders in such Facility to the extent necessary so that the benefit of all such payments shall be shared by the Lenders ratably in accordance with the aggregate amount of principal of and accrued interest on their respective Revolving Loans and participations in LC Disbursements in such Facility;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(y) the application of Cash Collateral as provided in Section 2.05 or (z) any payment obtained by a Lender as consideration for the assignment of or sale of a participation in any of its Loans or participations in LC Disbursements to any assignee or participant, other than to the Borrower or any Subsidiary or other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(d)    Unless the Administrative Agent shall have received notice from the Borrower prior to the date on which any payment is due to the Administrative Agent for the account of the Lenders or an Issuing Bank hereunder that the Borrower will not make such payment, the Administrative Agent may assume that the Borrower has made such payment on such date in accordance herewith and may, in reliance upon such assumption and in its sole discretion, distribute to the Lenders or the applicable Issuing Bank, as the case may be, the amount due. With respect to</w:t>
      </w:r>
      <w:r>
        <w:rPr>
          <w:color w:val="000000"/>
        </w:rPr>
        <w:t xml:space="preserve"> </w:t>
      </w:r>
      <w:r>
        <w:rPr>
          <w:rFonts w:ascii="Times New Roman;sans-serif" w:hAnsi="Times New Roman;sans-serif"/>
          <w:b w:val="false"/>
          <w:color w:val="000000"/>
          <w:sz w:val="22"/>
        </w:rPr>
        <w:t>any payment that</w:t>
      </w:r>
      <w:r>
        <w:rPr>
          <w:color w:val="000000"/>
        </w:rPr>
        <w:t xml:space="preserve"> </w:t>
      </w:r>
      <w:r>
        <w:rPr>
          <w:rFonts w:ascii="Times New Roman;sans-serif" w:hAnsi="Times New Roman;sans-serif"/>
          <w:b w:val="false"/>
          <w:color w:val="000000"/>
          <w:sz w:val="22"/>
        </w:rPr>
        <w:t>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sans-serif" w:hAnsi="Times New Roman;sans-serif"/>
          <w:b w:val="false"/>
          <w:color w:val="000000"/>
          <w:sz w:val="22"/>
          <w:u w:val="single"/>
        </w:rPr>
        <w:t>Rescindable Amount</w:t>
      </w:r>
      <w:r>
        <w:rPr>
          <w:color w:val="000000"/>
        </w:rPr>
        <w:t>”</w:t>
      </w:r>
      <w:r>
        <w:rPr>
          <w:rFonts w:ascii="Times New Roman;sans-serif" w:hAnsi="Times New Roman;sans-serif"/>
          <w:b w:val="false"/>
          <w:color w:val="000000"/>
          <w:sz w:val="22"/>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Issuing Bank, as the case may be, severally agrees to repay to the Administrative Agent forthwith on demand the Rescindable Amount so distributed to such Lender or such Issuing Bank,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If any Lender shall fail to make any payment required to be made by it pursuant to Section 2.05(c), 2.03(b) or (g), 2.16(d)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2.17    </w:t>
      </w:r>
      <w:r>
        <w:rPr>
          <w:rFonts w:ascii="Times New Roman;sans-serif" w:hAnsi="Times New Roman;sans-serif"/>
          <w:b w:val="false"/>
          <w:color w:val="000000"/>
          <w:sz w:val="22"/>
          <w:u w:val="single"/>
        </w:rPr>
        <w:t>Mitigation Obligations; Replacement of Lenders</w:t>
      </w:r>
      <w:r>
        <w:rPr>
          <w:rFonts w:ascii="Times New Roman;sans-serif" w:hAnsi="Times New Roman;sans-serif"/>
          <w:b w:val="false"/>
          <w:color w:val="000000"/>
          <w:sz w:val="22"/>
        </w:rPr>
        <w:t>.</w:t>
      </w:r>
    </w:p>
    <w:p>
      <w:pPr>
        <w:pStyle w:val="TextBody"/>
        <w:bidi w:val="0"/>
        <w:spacing w:before="0" w:after="24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If any Lender requests compensation under Section 2.13, or if the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2.13 or 2.15, as the case may be, in the future and (ii) would not subject such Lender to any unreimbursed cost or expense and would not be inconsistent with its internal policies or otherwise be disadvantageous to such Lender. The Borrower hereby agrees to pay all reasonable costs and expenses incurred by any Lender in connection with any such designation or assignment.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(b)    If any Lender requests compensation under Section 2.13, or if the Borrower is required to pay any additional amount to any Lender or any Governmental Authority for the account of any Lender pursuant to Section 2.15,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Borrower shall have received the prior written consent of the Administrative Agent (and, if a Revolving Commitment is being assigned, the Issuing Banks), which consent shall not unreasonably be withheld, (ii) such Lender shall have received payment of an amount equal to the outstanding principal of its Loans and LC Advances, accrued interest thereon, accrued fees and all other amounts payable to it hereunder from the assignee or the Borrower, (iii) the Borrower or such assignee shall have paid to the Administrative Agent the processing and recordation fee specified in Section 9.04(b) and (iv) in the case of any such assignment resulting from a claim for compensation under Section 2.13 or payments required to be made pursuant to Section 2.15,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Additionally, at any time that a Lender is a Defaulting Lender, the Borrower may elect to terminate the Commitment of such Lender so long as any resulting change in the Revolving Exposures as a result of such termination would not cause the Revolving Exposure of any Revolving Lender to exceed the Revolving Commitment of such Revolving Lender except in the case of any Revolving Loans of such Defaulting Lender that are then outstanding (in which case, the Borrower may only terminate the unused portion of such Defaulting Lender’s Revolving Commitment;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any prepayment of Revolving Loans by the Borrower following any such termination, the outstanding Revolving Loans of such Defaulting Lender shall be prepaid as if its Revolving Commitment was as in effect at the time such Defaulting Lender became a Defaulting Lender).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2.18    </w:t>
      </w:r>
      <w:r>
        <w:rPr>
          <w:rFonts w:ascii="Times New Roman;sans-serif" w:hAnsi="Times New Roman;sans-serif"/>
          <w:b w:val="false"/>
          <w:color w:val="000000"/>
          <w:sz w:val="22"/>
          <w:u w:val="single"/>
        </w:rPr>
        <w:t>Incremental Revolving Commitments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    At any time and from time to time prior to the Maturity Date, subject to the terms and conditions set forth herein, the Borrower may, by notice to the Administrative Agent (whereupon the Administrative Agent shall promptly deliver a copy to each of the Lenders), request to increase the existing Revolving Commitments under either Facility (“</w:t>
      </w:r>
      <w:r>
        <w:rPr>
          <w:rFonts w:ascii="Times New Roman;sans-serif" w:hAnsi="Times New Roman;sans-serif"/>
          <w:b w:val="false"/>
          <w:color w:val="000000"/>
          <w:sz w:val="22"/>
          <w:u w:val="single"/>
        </w:rPr>
        <w:t>Incremental Revolving Commitments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the time of each such request and upon the effectiveness of each Incremental Facility Amendment, (A) no Default has occurred and is continuing or shall result therefrom, (B) the Borrower shall be in compliance on a Pro Forma Basis with the covenant contained in Section 6.06 recomputed as </w:t>
      </w:r>
    </w:p>
    <w:p>
      <w:pPr>
        <w:pStyle w:val="TextBody"/>
        <w:bidi w:val="0"/>
        <w:spacing w:before="0" w:after="24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of the last day of the most recent fiscal quarter for which financial statements have been or were required to be delivered pursuant to paragraph (a) or (b) of Section 5.01, and (C) the Borrower shall have delivered a certificate of a Financial Officer to the effect set forth in clauses (A) and (B) above, together with all calculations relevant thereto, including reasonably detailed calculations demonstrating compliance with clause (B) above. Notwithstanding anything to the contrary herein, the aggregate principal amount of the Incremental Revolving Commitments shall not exceed $750,000,000. Each exercise of the Borrower’s right to seek Incremental Revolving Commitments shall be in an integral multiple of $1,000,000 and be in an aggregate principal amount that is not less than $25,000,000.</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    Each notice from the Borrower pursuant to this Section 2.18 shall set forth the requested amount and proposed terms of the relevant Incremental Revolving Commitments. Any additional bank, financial institution, existing Lender or other Person that elects to extend Incremental Revolving Commitments (any such bank, financial institution, existing Lender or other Person being called an “</w:t>
      </w:r>
      <w:r>
        <w:rPr>
          <w:rFonts w:ascii="Times New Roman;sans-serif" w:hAnsi="Times New Roman;sans-serif"/>
          <w:b w:val="false"/>
          <w:color w:val="000000"/>
          <w:sz w:val="22"/>
          <w:u w:val="single"/>
        </w:rPr>
        <w:t>Additional Lender</w:t>
      </w:r>
      <w:r>
        <w:rPr>
          <w:color w:val="000000"/>
        </w:rPr>
        <w:t>”</w:t>
      </w:r>
      <w:r>
        <w:rPr>
          <w:rFonts w:ascii="Times New Roman;sans-serif" w:hAnsi="Times New Roman;sans-serif"/>
          <w:b w:val="false"/>
          <w:color w:val="000000"/>
          <w:sz w:val="22"/>
        </w:rPr>
        <w:t>) shall be reasonably satisfactory to the Borrower and the Administrative Agent and, if not already a Lender, shall become a Lender under this Agreement pursuant to an amendment (an “</w:t>
      </w:r>
      <w:r>
        <w:rPr>
          <w:rFonts w:ascii="Times New Roman;sans-serif" w:hAnsi="Times New Roman;sans-serif"/>
          <w:b w:val="false"/>
          <w:color w:val="000000"/>
          <w:sz w:val="22"/>
          <w:u w:val="single"/>
        </w:rPr>
        <w:t>Incremental Facility Amendment</w:t>
      </w:r>
      <w:r>
        <w:rPr>
          <w:color w:val="000000"/>
        </w:rPr>
        <w:t>”</w:t>
      </w:r>
      <w:r>
        <w:rPr>
          <w:rFonts w:ascii="Times New Roman;sans-serif" w:hAnsi="Times New Roman;sans-serif"/>
          <w:b w:val="false"/>
          <w:color w:val="000000"/>
          <w:sz w:val="22"/>
        </w:rPr>
        <w:t>) to this Agreement and, as appropriate, the other Loan Documents, executed by the Borrower, such Additional Lender and the Administrative Agent. No Lender shall be obligated to provide any Incremental Revolving Commitment unless, in its sole discretion, it so agrees. An Incremental Facility Amendment may, without the consent of any other Lenders, effect such amendments to any Loan Documents as may be necessary or appropriate, in the opinion of the Administrative Agent, to effect the provisions of this Section 2.18 (including to provide for voting provisions applicable to the Additional Lenders comparable to the provisions of clause (2) of the second proviso of Section 9.02(b)). The effectiveness of any Incremental Facility Amendment shall, unless otherwise agreed to by the Administrative Agent and the Additional Lenders, be subject to the satisfaction on the date thereof (each, an “</w:t>
      </w:r>
      <w:r>
        <w:rPr>
          <w:rFonts w:ascii="Times New Roman;sans-serif" w:hAnsi="Times New Roman;sans-serif"/>
          <w:b w:val="false"/>
          <w:color w:val="000000"/>
          <w:sz w:val="22"/>
          <w:u w:val="single"/>
        </w:rPr>
        <w:t>Incremental Facility Closing Date</w:t>
      </w:r>
      <w:r>
        <w:rPr>
          <w:color w:val="000000"/>
        </w:rPr>
        <w:t>”</w:t>
      </w:r>
      <w:r>
        <w:rPr>
          <w:rFonts w:ascii="Times New Roman;sans-serif" w:hAnsi="Times New Roman;sans-serif"/>
          <w:b w:val="false"/>
          <w:color w:val="000000"/>
          <w:sz w:val="22"/>
        </w:rPr>
        <w:t>) of each of the conditions set forth in Section 4.02 (it being understood that all references to “the date of such Borrowing” in Section 4.02 shall be deemed to refer to the Incremental Facility Closing Date). The Administrative Agent shall receive not less than 10 Business Days’ advance notice (or shorter, if agreed by the Administrative Agent) prior to any proposed Incremental Facility Closing Date.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2.19    </w:t>
      </w:r>
      <w:r>
        <w:rPr>
          <w:rFonts w:ascii="Times New Roman;sans-serif" w:hAnsi="Times New Roman;sans-serif"/>
          <w:b w:val="false"/>
          <w:color w:val="000000"/>
          <w:sz w:val="22"/>
          <w:u w:val="single"/>
        </w:rPr>
        <w:t>Defaulting Lenders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Waivers and Amendments</w:t>
      </w:r>
      <w:r>
        <w:rPr>
          <w:rFonts w:ascii="Times New Roman;sans-serif" w:hAnsi="Times New Roman;sans-serif"/>
          <w:b w:val="false"/>
          <w:color w:val="000000"/>
          <w:sz w:val="22"/>
        </w:rPr>
        <w:t>. Such Defaulting Lender’s right to approve or disapprove any amendment, waiver or consent with respect to this Agreement shall be restricted as set forth in the definition of “Required Lenders” and Section 9.02.</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Defaulting Lender Waterfall</w:t>
      </w:r>
      <w:r>
        <w:rPr>
          <w:rFonts w:ascii="Times New Roman;sans-serif" w:hAnsi="Times New Roman;sans-serif"/>
          <w:b w:val="false"/>
          <w:color w:val="000000"/>
          <w:sz w:val="22"/>
        </w:rPr>
        <w:t xml:space="preserve">. Any payment of principal, interest, fees or other amounts received by the Administrative Agent for the account of such Defaulting Lender under this Agreement or the other Loan Documents (whether voluntary or mandatory, at maturity, pursuant to Article VII or otherwise) or received by the Administrative Agent from a Defaulting Lender pursuant to Section 9.08 shall be applied at such time or times as may be determined by the Administrative Agent (but in no event later than 5 Business Days after receipt) as follows: </w:t>
      </w:r>
      <w:r>
        <w:rPr>
          <w:rFonts w:ascii="Times New Roman;sans-serif" w:hAnsi="Times New Roman;sans-serif"/>
          <w:b w:val="false"/>
          <w:i/>
          <w:color w:val="000000"/>
          <w:sz w:val="22"/>
        </w:rPr>
        <w:t>first</w:t>
      </w:r>
      <w:r>
        <w:rPr>
          <w:rFonts w:ascii="Times New Roman;sans-serif" w:hAnsi="Times New Roman;sans-serif"/>
          <w:b w:val="false"/>
          <w:color w:val="000000"/>
          <w:sz w:val="22"/>
        </w:rPr>
        <w:t xml:space="preserve">, to the payment of any amounts owing by such Defaulting Lender to the Administrative Agent hereunder; </w:t>
      </w:r>
      <w:r>
        <w:rPr>
          <w:rFonts w:ascii="Times New Roman;sans-serif" w:hAnsi="Times New Roman;sans-serif"/>
          <w:b w:val="false"/>
          <w:i/>
          <w:color w:val="000000"/>
          <w:sz w:val="22"/>
        </w:rPr>
        <w:t>second</w:t>
      </w:r>
      <w:r>
        <w:rPr>
          <w:rFonts w:ascii="Times New Roman;sans-serif" w:hAnsi="Times New Roman;sans-serif"/>
          <w:b w:val="false"/>
          <w:color w:val="000000"/>
          <w:sz w:val="22"/>
        </w:rPr>
        <w:t xml:space="preserve">, to the payment on a pro rata basis of any amounts owing by such Defaulting Lender to any Issuing Bank hereunder; </w:t>
      </w:r>
      <w:r>
        <w:rPr>
          <w:rFonts w:ascii="Times New Roman;sans-serif" w:hAnsi="Times New Roman;sans-serif"/>
          <w:b w:val="false"/>
          <w:i/>
          <w:color w:val="000000"/>
          <w:sz w:val="22"/>
        </w:rPr>
        <w:t>third</w:t>
      </w:r>
      <w:r>
        <w:rPr>
          <w:rFonts w:ascii="Times New Roman;sans-serif" w:hAnsi="Times New Roman;sans-serif"/>
          <w:b w:val="false"/>
          <w:color w:val="000000"/>
          <w:sz w:val="22"/>
        </w:rPr>
        <w:t xml:space="preserve">, to Cash Collateralize the Issuing Bank’s </w:t>
      </w:r>
    </w:p>
    <w:p>
      <w:pPr>
        <w:pStyle w:val="TextBody"/>
        <w:bidi w:val="0"/>
        <w:spacing w:before="0" w:after="24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Fronting Exposure with respect to such Defaulting Lender in accordance with Section 2.05 with a corresponding release of any Cash Collateral provided by the Borrower and/or a reversal of any reallocations made among the Lenders with respect to such Fronting Exposure pursuant to Section 2.19(a)(iv); </w:t>
      </w:r>
      <w:r>
        <w:rPr>
          <w:rFonts w:ascii="Times New Roman;sans-serif" w:hAnsi="Times New Roman;sans-serif"/>
          <w:b w:val="false"/>
          <w:i/>
          <w:color w:val="000000"/>
          <w:sz w:val="22"/>
        </w:rPr>
        <w:t>fourth</w:t>
      </w:r>
      <w:r>
        <w:rPr>
          <w:rFonts w:ascii="Times New Roman;sans-serif" w:hAnsi="Times New Roman;sans-serif"/>
          <w:b w:val="false"/>
          <w:color w:val="000000"/>
          <w:sz w:val="22"/>
        </w:rPr>
        <w:t xml:space="preserve">,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Times New Roman;sans-serif" w:hAnsi="Times New Roman;sans-serif"/>
          <w:b w:val="false"/>
          <w:i/>
          <w:color w:val="000000"/>
          <w:sz w:val="22"/>
        </w:rPr>
        <w:t>fifth</w:t>
      </w:r>
      <w:r>
        <w:rPr>
          <w:rFonts w:ascii="Times New Roman;sans-serif" w:hAnsi="Times New Roman;sans-serif"/>
          <w:b w:val="false"/>
          <w:color w:val="000000"/>
          <w:sz w:val="22"/>
        </w:rPr>
        <w:t xml:space="preserve">, if so determined by the Administrative Agent and the Borrower, to be held in a deposit account and released in order to (x) satisfy such Defaulting Lender’s potential future funding obligations with respect to Loans and funded participations under this Agreement and (y) Cash Collateralize the Issuing Banks’ future Fronting Exposure with respect to such Defaulting Lender with respect to future Letters of Credit issued under this Agreement, in accordance with Section 2.05; </w:t>
      </w:r>
      <w:r>
        <w:rPr>
          <w:rFonts w:ascii="Times New Roman;sans-serif" w:hAnsi="Times New Roman;sans-serif"/>
          <w:b w:val="false"/>
          <w:i/>
          <w:color w:val="000000"/>
          <w:sz w:val="22"/>
        </w:rPr>
        <w:t>sixth</w:t>
      </w:r>
      <w:r>
        <w:rPr>
          <w:rFonts w:ascii="Times New Roman;sans-serif" w:hAnsi="Times New Roman;sans-serif"/>
          <w:b w:val="false"/>
          <w:color w:val="000000"/>
          <w:sz w:val="22"/>
        </w:rPr>
        <w:t xml:space="preserve">, to the payment of any amounts owing to the Lenders or Issuing Banks as a result of any judgment of a court of competent jurisdiction obtained by any Lender or Issuing Bank against such Defaulting Lender as a result of such Defaulting Lender’s breach of its obligations under this Agreement; </w:t>
      </w:r>
      <w:r>
        <w:rPr>
          <w:rFonts w:ascii="Times New Roman;sans-serif" w:hAnsi="Times New Roman;sans-serif"/>
          <w:b w:val="false"/>
          <w:i/>
          <w:color w:val="000000"/>
          <w:sz w:val="22"/>
        </w:rPr>
        <w:t>seventh</w:t>
      </w:r>
      <w:r>
        <w:rPr>
          <w:rFonts w:ascii="Times New Roman;sans-serif" w:hAnsi="Times New Roman;sans-serif"/>
          <w:b w:val="false"/>
          <w:color w:val="000000"/>
          <w:sz w:val="22"/>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ans-serif" w:hAnsi="Times New Roman;sans-serif"/>
          <w:b w:val="false"/>
          <w:i/>
          <w:color w:val="000000"/>
          <w:sz w:val="22"/>
        </w:rPr>
        <w:t>eighth</w:t>
      </w:r>
      <w:r>
        <w:rPr>
          <w:rFonts w:ascii="Times New Roman;sans-serif" w:hAnsi="Times New Roman;sans-serif"/>
          <w:b w:val="false"/>
          <w:color w:val="000000"/>
          <w:sz w:val="22"/>
        </w:rPr>
        <w:t xml:space="preserve">, to such Defaulting Lender or as otherwise directed by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(x) such payment is a payment of the principal amount of any Loans or funded participations in Letters of Credit in respect of which such Defaulting Lender has not fully funded its appropriate share, and (y) such Loans were made or the related Letters of Credit were issued at a time when the relevant conditions set forth in Article IV were satisfied or waived, such payment shall be applied solely to pay the Loans of, and funded participations owed to, all Non-Defaulting Lenders on a pro rata basis prior to being applied to the payment of any Loans of, or funded participations in Letters of Credit owed to, such Defaulting Lender until such time as all Loans and funded and unfunded participations in Letters of Credit are held by the Lenders pro rata in accordance with the Commitments hereunder without giving effect to Section 2.19(a)(iv). Any payments, prepayments or other amounts paid or payable to a Defaulting Lender that are applied (or held) to pay amounts owed by a Defaulting Lender or to post Cash Collateral pursuant to this Section 2.19(a)(ii) shall be deemed paid to and redirected by such Defaulting Lender, and each Lender irrevocably consents hereto.</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Certain Fees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Each Defaulting Lender shall be entitled to receive fees payable under Section 2.10(a) for any period during which that Lender is a Defaulting Lender only to the extent allocable to the sum of (1) the outstanding principal amount of the Loans funded by it, and (2) its Applicable Percentage of the stated amount of Letters of Credit for which it has provided Cash Collateral pursuant to Section 2.19(a)(ii).</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Each Defaulting Lender shall be entitled to receive fees pursuant to Section 2.10(b)(i) for any period during which that Lender is a Defaulting Lender only to the extent allocable to its Applicable Percentage of the stated amount of Letters of Credit for which it has provided Cash Collateral pursuant to Section 2.19(a)(ii).</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    With respect to any fee payable under Section 2.10(a) or (b)(i) not required to be paid to any Defaulting Lender pursuant to clause (A) or (B) above, the Borrower shall (x) pay to each Non-Defaulting Lender that portion of any such fee </w:t>
      </w:r>
    </w:p>
    <w:p>
      <w:pPr>
        <w:pStyle w:val="TextBody"/>
        <w:bidi w:val="0"/>
        <w:spacing w:before="0" w:after="24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otherwise payable to such Defaulting Lender with respect to such Defaulting Lender’s participation in Letters of Credit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(iv)    </w:t>
      </w:r>
      <w:r>
        <w:rPr>
          <w:rFonts w:ascii="Times New Roman;sans-serif" w:hAnsi="Times New Roman;sans-serif"/>
          <w:b w:val="false"/>
          <w:color w:val="000000"/>
          <w:sz w:val="22"/>
          <w:u w:val="single"/>
        </w:rPr>
        <w:t>Reallocation of Applicable Percentages to Reduce Fronting Exposure</w:t>
      </w:r>
      <w:r>
        <w:rPr>
          <w:rFonts w:ascii="Times New Roman;sans-serif" w:hAnsi="Times New Roman;sans-serif"/>
          <w:b w:val="false"/>
          <w:color w:val="000000"/>
          <w:sz w:val="22"/>
        </w:rPr>
        <w:t>. All or any part of such Defaulting Lender’s participation in Letters of Credit shall be reallocated among the Non-Defaulting Lenders in accordance with their respective Applicable Percentages (calculated without regard to such Defaulting Lender’s Commitment) but only to the extent that such reallocation does not cause the aggregate Revolving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(v)    </w:t>
      </w:r>
      <w:r>
        <w:rPr>
          <w:rFonts w:ascii="Times New Roman;sans-serif" w:hAnsi="Times New Roman;sans-serif"/>
          <w:b w:val="false"/>
          <w:color w:val="000000"/>
          <w:sz w:val="22"/>
          <w:u w:val="single"/>
        </w:rPr>
        <w:t>Cash Collateral</w:t>
      </w:r>
      <w:r>
        <w:rPr>
          <w:rFonts w:ascii="Times New Roman;sans-serif" w:hAnsi="Times New Roman;sans-serif"/>
          <w:b w:val="false"/>
          <w:color w:val="000000"/>
          <w:sz w:val="22"/>
        </w:rPr>
        <w:t>. If the reallocation described in clause (a)(iv) above cannot, or can only partially, be effected, the Borrower shall, without prejudice to any right or remedy available to it hereunder or under any applicable law, Cash Collateralize the Issuing Bank</w:t>
      </w:r>
      <w:r>
        <w:rPr>
          <w:rFonts w:ascii="Times New Roman;sans-serif" w:hAnsi="Times New Roman;sans-serif"/>
          <w:b/>
          <w:color w:val="000000"/>
          <w:sz w:val="22"/>
        </w:rPr>
        <w:t>s</w:t>
      </w:r>
      <w:r>
        <w:rPr>
          <w:color w:val="000000"/>
        </w:rPr>
        <w:t xml:space="preserve">’ </w:t>
      </w:r>
      <w:r>
        <w:rPr>
          <w:rFonts w:ascii="Times New Roman;sans-serif" w:hAnsi="Times New Roman;sans-serif"/>
          <w:b w:val="false"/>
          <w:color w:val="000000"/>
          <w:sz w:val="22"/>
        </w:rPr>
        <w:t>Fronting Exposure in accordance with the procedures set forth in Section 2.05.</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Defaulting Lender Cure</w:t>
      </w:r>
      <w:r>
        <w:rPr>
          <w:rFonts w:ascii="Times New Roman;sans-serif" w:hAnsi="Times New Roman;sans-serif"/>
          <w:b w:val="false"/>
          <w:color w:val="000000"/>
          <w:sz w:val="22"/>
        </w:rPr>
        <w:t xml:space="preserve">. If the Borrower, the Administrative Agent and each Issuing Bank agree in writing that a Defaulting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of each Class and funded and unfunded participations in Letters of Credit to be held pro rata by the Lenders in accordance with the Commitments (without giving effect to Section 2.19(a)(iv)), whereupon such Lender will cease to be a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adjustments will be made retroactively with respect to fees accrued or payments made by or on behalf of the Borrower while that Lender was a Defaulting Lender;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2.20    </w:t>
      </w:r>
      <w:r>
        <w:rPr>
          <w:rFonts w:ascii="Times New Roman;sans-serif" w:hAnsi="Times New Roman;sans-serif"/>
          <w:b w:val="false"/>
          <w:color w:val="000000"/>
          <w:sz w:val="22"/>
          <w:u w:val="single"/>
        </w:rPr>
        <w:t>Sustainability Adjustments; Sustainability Coordinator</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(a)    Following the date on which the Borrower delivers a Sustainability Pricing Certificate to the Administrative Agent pursuant to </w:t>
      </w:r>
      <w:r>
        <w:rPr>
          <w:rFonts w:ascii="Times New Roman;sans-serif" w:hAnsi="Times New Roman;sans-serif"/>
          <w:b w:val="false"/>
          <w:color w:val="000000"/>
          <w:sz w:val="22"/>
          <w:u w:val="single"/>
        </w:rPr>
        <w:t>Section 5.01(g)</w:t>
      </w:r>
      <w:r>
        <w:rPr>
          <w:color w:val="000000"/>
        </w:rPr>
        <w:t xml:space="preserve"> </w:t>
      </w:r>
      <w:r>
        <w:rPr>
          <w:rFonts w:ascii="Times New Roman;sans-serif" w:hAnsi="Times New Roman;sans-serif"/>
          <w:b w:val="false"/>
          <w:color w:val="000000"/>
          <w:sz w:val="22"/>
        </w:rPr>
        <w:t xml:space="preserve">in respect of the most recently ended calendar year (beginning with the delivery of a Sustainability Pricing Certificate for the calendar year ending December 31, 2023), (i) the Applicable Rate for Benchmark Loans, Daily Simple SOFR Loans and ABR Loans shall be increased or decreased (or neither increased nor decreased), as applicable, pursuant to the Sustainability Rate Adjustment as set forth in such Sustainability Pricing Certificate, and (ii) the Applicable Rate for Facility Fees shall be increased or decreased (or neither increased nor decreased), as applicable, pursuant to the Sustainability Facility Fee Adjustment as set forth in such Sustainability Pricing Certificate. For purposes of the foregoing, (A) the Sustainability Rate Adjustment and the Sustainability Facility Fee Adjustment shall be applied as of the fifth Business Day following receipt by </w:t>
      </w:r>
    </w:p>
    <w:p>
      <w:pPr>
        <w:pStyle w:val="TextBody"/>
        <w:bidi w:val="0"/>
        <w:spacing w:before="0" w:after="24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the Administrative Agent of a Sustainability Pricing Certificate delivered pursuant to </w:t>
      </w:r>
      <w:r>
        <w:rPr>
          <w:rFonts w:ascii="Times New Roman;sans-serif" w:hAnsi="Times New Roman;sans-serif"/>
          <w:b w:val="false"/>
          <w:color w:val="000000"/>
          <w:sz w:val="22"/>
          <w:u w:val="single"/>
        </w:rPr>
        <w:t>Section 5.01(g)</w:t>
      </w:r>
      <w:r>
        <w:rPr>
          <w:color w:val="000000"/>
        </w:rPr>
        <w:t xml:space="preserve"> </w:t>
      </w:r>
      <w:r>
        <w:rPr>
          <w:rFonts w:ascii="Times New Roman;sans-serif" w:hAnsi="Times New Roman;sans-serif"/>
          <w:b w:val="false"/>
          <w:color w:val="000000"/>
          <w:sz w:val="22"/>
        </w:rPr>
        <w:t>based upon the KPI Metrics set forth in such Sustainability Pricing Certificate and the calculations of the Sustainability Rate Adjustment and the Sustainability Facility Fee Adjustment therein (such day, the “</w:t>
      </w:r>
      <w:r>
        <w:rPr>
          <w:rFonts w:ascii="Times New Roman;sans-serif" w:hAnsi="Times New Roman;sans-serif"/>
          <w:b w:val="false"/>
          <w:color w:val="000000"/>
          <w:sz w:val="22"/>
          <w:u w:val="single"/>
        </w:rPr>
        <w:t>Sustainability Pricing Adjustment Date</w:t>
      </w:r>
      <w:r>
        <w:rPr>
          <w:color w:val="000000"/>
        </w:rPr>
        <w:t>”</w:t>
      </w:r>
      <w:r>
        <w:rPr>
          <w:rFonts w:ascii="Times New Roman;sans-serif" w:hAnsi="Times New Roman;sans-serif"/>
          <w:b w:val="false"/>
          <w:color w:val="000000"/>
          <w:sz w:val="22"/>
        </w:rPr>
        <w:t xml:space="preserve">) and (B) each change in the Applicable Rate for Benchmark Loans, Daily Simple SOFR Loans, ABR Loans and Facility Fees resulting from a Sustainability Pricing Certificate shall be effective commencing on and including the applicable Sustainability Pricing Adjustment Date (or, in the case of non-delivery of a Sustainability Pricing Certificate, in accordance with </w:t>
      </w:r>
      <w:r>
        <w:rPr>
          <w:rFonts w:ascii="Times New Roman;sans-serif" w:hAnsi="Times New Roman;sans-serif"/>
          <w:b w:val="false"/>
          <w:color w:val="000000"/>
          <w:sz w:val="22"/>
          <w:u w:val="single"/>
        </w:rPr>
        <w:t>Section 2.20(c)</w:t>
      </w:r>
      <w:r>
        <w:rPr>
          <w:color w:val="000000"/>
        </w:rPr>
        <w:t xml:space="preserve"> </w:t>
      </w:r>
      <w:r>
        <w:rPr>
          <w:rFonts w:ascii="Times New Roman;sans-serif" w:hAnsi="Times New Roman;sans-serif"/>
          <w:b w:val="false"/>
          <w:color w:val="000000"/>
          <w:sz w:val="22"/>
        </w:rPr>
        <w:t>below)</w:t>
      </w:r>
      <w:r>
        <w:rPr>
          <w:rFonts w:ascii="Times New Roman;sans-serif" w:hAnsi="Times New Roman;sans-serif"/>
          <w:b w:val="false"/>
          <w:color w:val="0000FF"/>
          <w:sz w:val="22"/>
          <w:u w:val="single"/>
        </w:rPr>
        <w:t>. Notwithstanding the foregoing, on the Amendment No. 4 Effective Date, the Borrower shall deliver to the Administrative Agent an amended and restated Sustainability Pricing Certificate in respect of the calendar year ended December 31, 2023, which shall (x) include only the KPI Metric in respect of the Percent SBT Spend and (y) apply only with respect to the period beginning with the fifth Business Day after the Amendment No. 4 Effective Date through the next Sustainability Pricing Adjustment Date, after which (i) the Applicable Rate for Benchmark Loans, Daily Simple SOFR Loans and ABR Loans shall be increased or decreased (or neither increased nor decreased), as applicable, pursuant to the Sustainability Rate Adjustment as set forth in such Sustainability Pricing Certificate, and (ii) the Applicable Rate for Facility Fees shall be increased or decreased (or neither increased nor decreased), as applicable, pursuant to the Sustainability Facility Fee Adjustment as set forth in such Sustainability Pricing Certificate</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    It is understood and agreed that only one Sustainability Pricing Certificate may be delivered in respect of any calendar year</w:t>
      </w:r>
      <w:r>
        <w:rPr>
          <w:rFonts w:ascii="Times New Roman;sans-serif" w:hAnsi="Times New Roman;sans-serif"/>
          <w:b w:val="false"/>
          <w:color w:val="0000FF"/>
          <w:sz w:val="22"/>
          <w:u w:val="single"/>
        </w:rPr>
        <w:t>, except as set forth in the last sentence of Section 2.20(a) above</w:t>
      </w:r>
      <w:r>
        <w:rPr>
          <w:rFonts w:ascii="Times New Roman;sans-serif" w:hAnsi="Times New Roman;sans-serif"/>
          <w:b w:val="false"/>
          <w:color w:val="000000"/>
          <w:sz w:val="22"/>
        </w:rPr>
        <w:t>. It is further understood and agreed that (i) the Applicable Rate for Benchmark Loans, Daily Simple SOFR Loans and ABR Loans will never be reduced or increased by more than 0.04% per annum pursuant to the Sustainability Rate Adjustment in any calendar year and that the Applicable Rate for Facility Fees will never be reduced or increased by more than 0.01% per annum pursuant to the Sustainability Facility Fee Adjustment during any calendar year and (ii) any adjustment to the Applicable Rate for Benchmark Loans, Daily Simple SOFR Loans, ABR Loans and Facility Fees by reason of meeting one or several KPI Metrics in any calendar year shall not be cumulative year-over-year or otherwise effective for any other calendar year.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(c)    It is hereby understood and agreed that, subject to the limitations of the second sentence in </w:t>
      </w:r>
      <w:r>
        <w:rPr>
          <w:rFonts w:ascii="Times New Roman;sans-serif" w:hAnsi="Times New Roman;sans-serif"/>
          <w:b w:val="false"/>
          <w:color w:val="000000"/>
          <w:sz w:val="22"/>
          <w:u w:val="single"/>
        </w:rPr>
        <w:t>Section 2.20(b)</w:t>
      </w:r>
      <w:r>
        <w:rPr>
          <w:rFonts w:ascii="Times New Roman;sans-serif" w:hAnsi="Times New Roman;sans-serif"/>
          <w:b w:val="false"/>
          <w:color w:val="000000"/>
          <w:sz w:val="22"/>
        </w:rPr>
        <w:t xml:space="preserve">, in the event the Borrower fails to timely deliver a Sustainability Pricing Certificate in accordance with </w:t>
      </w:r>
      <w:r>
        <w:rPr>
          <w:rFonts w:ascii="Times New Roman;sans-serif" w:hAnsi="Times New Roman;sans-serif"/>
          <w:b w:val="false"/>
          <w:color w:val="000000"/>
          <w:sz w:val="22"/>
          <w:u w:val="single"/>
        </w:rPr>
        <w:t>Section 5.01(g)</w:t>
      </w:r>
      <w:r>
        <w:rPr>
          <w:rFonts w:ascii="Times New Roman;sans-serif" w:hAnsi="Times New Roman;sans-serif"/>
          <w:b w:val="false"/>
          <w:color w:val="000000"/>
          <w:sz w:val="22"/>
        </w:rPr>
        <w:t xml:space="preserve">, (i) the Sustainability Rate Adjustment will be positive </w:t>
      </w:r>
      <w:r>
        <w:rPr>
          <w:rFonts w:ascii="Times New Roman;sans-serif" w:hAnsi="Times New Roman;sans-serif"/>
          <w:b w:val="false"/>
          <w:strike/>
          <w:color w:val="FF0000"/>
          <w:sz w:val="22"/>
        </w:rPr>
        <w:t>0.04</w:t>
      </w:r>
      <w:r>
        <w:rPr>
          <w:rFonts w:ascii="Times New Roman;sans-serif" w:hAnsi="Times New Roman;sans-serif"/>
          <w:b w:val="false"/>
          <w:color w:val="0000FF"/>
          <w:sz w:val="22"/>
          <w:u w:val="single"/>
        </w:rPr>
        <w:t>0.02</w:t>
      </w:r>
      <w:r>
        <w:rPr>
          <w:rFonts w:ascii="Times New Roman;sans-serif" w:hAnsi="Times New Roman;sans-serif"/>
          <w:b w:val="false"/>
          <w:color w:val="000000"/>
          <w:sz w:val="22"/>
        </w:rPr>
        <w:t xml:space="preserve">% and (ii) the Sustainability Facility Fee Adjustment will be positive </w:t>
      </w:r>
      <w:r>
        <w:rPr>
          <w:rFonts w:ascii="Times New Roman;sans-serif" w:hAnsi="Times New Roman;sans-serif"/>
          <w:b w:val="false"/>
          <w:strike/>
          <w:color w:val="FF0000"/>
          <w:sz w:val="22"/>
        </w:rPr>
        <w:t>0.01</w:t>
      </w:r>
      <w:r>
        <w:rPr>
          <w:rFonts w:ascii="Times New Roman;sans-serif" w:hAnsi="Times New Roman;sans-serif"/>
          <w:b w:val="false"/>
          <w:color w:val="0000FF"/>
          <w:sz w:val="22"/>
          <w:u w:val="single"/>
        </w:rPr>
        <w:t>0.005</w:t>
      </w:r>
      <w:r>
        <w:rPr>
          <w:rFonts w:ascii="Times New Roman;sans-serif" w:hAnsi="Times New Roman;sans-serif"/>
          <w:b w:val="false"/>
          <w:color w:val="000000"/>
          <w:sz w:val="22"/>
        </w:rPr>
        <w:t xml:space="preserve">%, in each case, commencing on the last day such Sustainability Pricing Certificate could have been delivered pursuant to the terms of </w:t>
      </w:r>
      <w:r>
        <w:rPr>
          <w:rFonts w:ascii="Times New Roman;sans-serif" w:hAnsi="Times New Roman;sans-serif"/>
          <w:b w:val="false"/>
          <w:color w:val="000000"/>
          <w:sz w:val="22"/>
          <w:u w:val="single"/>
        </w:rPr>
        <w:t>Section 5.01(g)</w:t>
      </w:r>
      <w:r>
        <w:rPr>
          <w:color w:val="000000"/>
        </w:rPr>
        <w:t xml:space="preserve"> </w:t>
      </w:r>
      <w:r>
        <w:rPr>
          <w:rFonts w:ascii="Times New Roman;sans-serif" w:hAnsi="Times New Roman;sans-serif"/>
          <w:b w:val="false"/>
          <w:color w:val="000000"/>
          <w:sz w:val="22"/>
        </w:rPr>
        <w:t>and continuing until the Borrower delivers a Sustainability Pricing Certificate to the Administrative Agent for the applicable calendar year (and pending delivery of a Sustainability Pricing Certificate, no Default or Event of Default shall occur in relation to the failure to deliver such Sustainability Pricing Certificate).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(d)    If, prior to the Maturity Date, (i)(A) any Lender becomes aware of any material inaccuracy in the Sustainability Rate Adjustment, the Sustainability Facility Fee Adjustment or the KPI Metrics as reported in a Sustainability Pricing Certificate (any such material inaccuracy, a “</w:t>
      </w:r>
      <w:r>
        <w:rPr>
          <w:rFonts w:ascii="Times New Roman;sans-serif" w:hAnsi="Times New Roman;sans-serif"/>
          <w:b w:val="false"/>
          <w:color w:val="000000"/>
          <w:sz w:val="22"/>
          <w:u w:val="single"/>
        </w:rPr>
        <w:t>Sustainability Pricing Certificate Inaccuracy</w:t>
      </w:r>
      <w:r>
        <w:rPr>
          <w:color w:val="000000"/>
        </w:rPr>
        <w:t>”</w:t>
      </w:r>
      <w:r>
        <w:rPr>
          <w:rFonts w:ascii="Times New Roman;sans-serif" w:hAnsi="Times New Roman;sans-serif"/>
          <w:b w:val="false"/>
          <w:color w:val="000000"/>
          <w:sz w:val="22"/>
        </w:rPr>
        <w:t xml:space="preserve">) and such Lender delivers, not later than ten (10) Business Days after obtaining knowledge thereof, a written notice to the Administrative Agent describing such Sustainability Pricing Certificate Inaccuracy in reasonable detail (which description shall be promptly shared with each Lender and the Borrower), or (B) the Borrower becomes aware of a Sustainability Pricing Certificate Inaccuracy and the Borrower and the Administrative Agent shall mutually agree that there was a Sustainability Pricing Certificate Inaccuracy at the time of delivery of a Sustainability Pricing Certificate, </w:t>
      </w:r>
    </w:p>
    <w:p>
      <w:pPr>
        <w:pStyle w:val="TextBody"/>
        <w:bidi w:val="0"/>
        <w:spacing w:before="0" w:after="24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and (ii) a proper calculation of the Sustainability Rate Adjustment, Sustainability Facility Fee Adjustment or the KPI Metrics would have resulted in an increase in the Applicable Rate for any period, the Borrower shall be obligated to pay to the Administrative Agent for the account of the applicable Lenders, promptly on demand by the Administrative Agent (or, after the occurrence of an actual or deemed entry of an order for relief with respect to the Borrower under Debtor Relief Laws, automatically and without further action by the Administrative Agent or any Lender), but in any event within ten (10) Business Days after the Borrower has received written notice in accordance with this </w:t>
      </w:r>
      <w:r>
        <w:rPr>
          <w:rFonts w:ascii="Times New Roman;sans-serif" w:hAnsi="Times New Roman;sans-serif"/>
          <w:b w:val="false"/>
          <w:color w:val="000000"/>
          <w:sz w:val="22"/>
          <w:u w:val="single"/>
        </w:rPr>
        <w:t>Section 2.20(d)</w:t>
      </w:r>
      <w:r>
        <w:rPr>
          <w:color w:val="000000"/>
        </w:rPr>
        <w:t xml:space="preserve"> </w:t>
      </w:r>
      <w:r>
        <w:rPr>
          <w:rFonts w:ascii="Times New Roman;sans-serif" w:hAnsi="Times New Roman;sans-serif"/>
          <w:b w:val="false"/>
          <w:color w:val="000000"/>
          <w:sz w:val="22"/>
        </w:rPr>
        <w:t>of, or has agreed in writing that there was, a Sustainability Pricing Certificate Inaccuracy, an amount equal to the excess of (1) the amount of interest and fees that should have been paid for such period over (2) the amount of interest and fees actually paid for such period. If the Borrower becomes aware of any Sustainability Pricing Certificate Inaccuracy and, in connection therewith, if a proper calculation of the Sustainability Rate Adjustment, the Sustainability Facility Fee Adjustment or the KPI Metrics would have resulted in a decrease in the Applicable Rate for any period, then, upon receipt by the Administrative Agent of notice from the Borrower of such Sustainability Pricing Certificate Inaccuracy (which notice shall include corrections to the calculations of the Sustainability Rate Adjustment, the Sustainability Facility Fee Adjustment, or the KPI Metrics, as applicable), commencing on the Business Day following receipt by the Administrative Agent of such notice, the Applicable Rate for Benchmark Loans, Daily Simple SOFR Loans, ABR Loans and Facility Fees shall be adjusted to reflect the corrected calculations of the Sustainability Rate Adjustment, the Sustainability Facility Fee Adjustment or the KPI Metrics, as applicable.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(e)    It is understood and agreed that any Sustainability Pricing Certificate Inaccuracy (and any consequences thereof) shall not constitute a Default or Event of Default;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complies with the terms of </w:t>
      </w:r>
      <w:r>
        <w:rPr>
          <w:rFonts w:ascii="Times New Roman;sans-serif" w:hAnsi="Times New Roman;sans-serif"/>
          <w:b w:val="false"/>
          <w:color w:val="000000"/>
          <w:sz w:val="22"/>
          <w:u w:val="single"/>
        </w:rPr>
        <w:t>Section 2.20(d)</w:t>
      </w:r>
      <w:r>
        <w:rPr>
          <w:color w:val="000000"/>
        </w:rPr>
        <w:t xml:space="preserve"> </w:t>
      </w:r>
      <w:r>
        <w:rPr>
          <w:rFonts w:ascii="Times New Roman;sans-serif" w:hAnsi="Times New Roman;sans-serif"/>
          <w:b w:val="false"/>
          <w:color w:val="000000"/>
          <w:sz w:val="22"/>
        </w:rPr>
        <w:t xml:space="preserve">with respect to such Sustainability Pricing Certificate Inaccuracy. Notwithstanding anything to the contrary herein, unless such amounts shall be due upon the occurrence of an actual or deemed entry of an order for relief with respect to the Borrower under Debtor Relief Laws, (i) any additional amounts required to be paid pursuant to </w:t>
      </w:r>
      <w:r>
        <w:rPr>
          <w:rFonts w:ascii="Times New Roman;sans-serif" w:hAnsi="Times New Roman;sans-serif"/>
          <w:b w:val="false"/>
          <w:color w:val="000000"/>
          <w:sz w:val="22"/>
          <w:u w:val="single"/>
        </w:rPr>
        <w:t>Section 2.20(d)</w:t>
      </w:r>
      <w:r>
        <w:rPr>
          <w:color w:val="000000"/>
        </w:rPr>
        <w:t xml:space="preserve"> </w:t>
      </w:r>
      <w:r>
        <w:rPr>
          <w:rFonts w:ascii="Times New Roman;sans-serif" w:hAnsi="Times New Roman;sans-serif"/>
          <w:b w:val="false"/>
          <w:color w:val="000000"/>
          <w:sz w:val="22"/>
        </w:rPr>
        <w:t xml:space="preserve">shall not be due and payable until ten (10) Business Days after written demand is made for such payment by the Administrative Agent in accordance with </w:t>
      </w:r>
      <w:r>
        <w:rPr>
          <w:rFonts w:ascii="Times New Roman;sans-serif" w:hAnsi="Times New Roman;sans-serif"/>
          <w:b w:val="false"/>
          <w:color w:val="000000"/>
          <w:sz w:val="22"/>
          <w:u w:val="single"/>
        </w:rPr>
        <w:t>Section 2.20(d)</w:t>
      </w:r>
      <w:r>
        <w:rPr>
          <w:color w:val="000000"/>
        </w:rPr>
        <w:t xml:space="preserve"> </w:t>
      </w:r>
      <w:r>
        <w:rPr>
          <w:rFonts w:ascii="Times New Roman;sans-serif" w:hAnsi="Times New Roman;sans-serif"/>
          <w:b w:val="false"/>
          <w:color w:val="000000"/>
          <w:sz w:val="22"/>
        </w:rPr>
        <w:t>(such date, the “</w:t>
      </w:r>
      <w:r>
        <w:rPr>
          <w:rFonts w:ascii="Times New Roman;sans-serif" w:hAnsi="Times New Roman;sans-serif"/>
          <w:b w:val="false"/>
          <w:color w:val="000000"/>
          <w:sz w:val="22"/>
          <w:u w:val="single"/>
        </w:rPr>
        <w:t>Sustainability Pricing Certificate Inaccuracy Payment Date</w:t>
      </w:r>
      <w:r>
        <w:rPr>
          <w:color w:val="000000"/>
        </w:rPr>
        <w:t>”</w:t>
      </w:r>
      <w:r>
        <w:rPr>
          <w:rFonts w:ascii="Times New Roman;sans-serif" w:hAnsi="Times New Roman;sans-serif"/>
          <w:b w:val="false"/>
          <w:color w:val="000000"/>
          <w:sz w:val="22"/>
        </w:rPr>
        <w:t xml:space="preserve">), (ii) any nonpayment of such additional amounts prior to the Sustainability Pricing Certificate Inaccuracy Payment Date shall not constitute a Default or Event of Default (whether retroactively or otherwise) and (iii) none of such additional amounts shall be deemed overdue prior to the Sustainability Pricing Certificate Inaccuracy Payment Date or shall accrue interest pursuant to Section 2.11 prior to the Sustainability Pricing Certificate Inaccuracy Payment Date.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(f)    Each party hereto hereby agrees that the Administrative Agent and the Sustainability Coordinator shall not have any responsibility for (or liability in respect of) reviewing, auditing or otherwise evaluating any calculation by the Borrower of any Sustainability Rate Adjustment or Sustainability Facility Fee Adjustment (or any of the data or computations that are part of or related to any such calculation) set forth in any Sustainability Pricing Certificate (and the Administrative Agent may rely conclusively on any such certificate, without further inquiry).</w:t>
      </w:r>
      <w:r>
        <w:rPr>
          <w:color w:val="00000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(g)    If the Borrower (acting reasonably) determines that, (i) a Sustainability Recalculation Transaction has occurred or (ii) as a result of events beyond its reasonable control (including any future government authority directions applicable to government-related entities in the United States of America or in other jurisdictions in which the Borrower and its Subsidiaries operate, changes in law or regulations, actions by a public authority, fire, natural disaster and/or other events that disrupt business continuity), it is (x) prevented, hindered or delayed or (y) assisted in fulfilling its performance requirements in respect of any KPI Metric, then, in either case of clause (i) or (ii), (1) the Borrower shall deliver written notice of </w:t>
      </w:r>
    </w:p>
    <w:p>
      <w:pPr>
        <w:pStyle w:val="TextBody"/>
        <w:bidi w:val="0"/>
        <w:spacing w:before="0" w:after="24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any such circumstances or Sustainability Recalculation Transaction to the Administrative Agent and (2) the Borrower and the Administrative Agent shall negotiate in good faith (in consultation with the Sustainability Coordinator) to amend, supplement or otherwise modify Schedule 2.20, including to replace (or delete) any KPI Metric included in </w:t>
      </w:r>
      <w:r>
        <w:rPr>
          <w:rFonts w:ascii="Times New Roman;sans-serif" w:hAnsi="Times New Roman;sans-serif"/>
          <w:b w:val="false"/>
          <w:color w:val="000000"/>
          <w:sz w:val="22"/>
          <w:u w:val="single"/>
        </w:rPr>
        <w:t>Schedule 2.20</w:t>
      </w:r>
      <w:r>
        <w:rPr>
          <w:color w:val="000000"/>
        </w:rPr>
        <w:t xml:space="preserve"> </w:t>
      </w:r>
      <w:r>
        <w:rPr>
          <w:rFonts w:ascii="Times New Roman;sans-serif" w:hAnsi="Times New Roman;sans-serif"/>
          <w:b w:val="false"/>
          <w:color w:val="000000"/>
          <w:sz w:val="22"/>
        </w:rPr>
        <w:t xml:space="preserve">affected by such circumstances or Sustainability Recalculation Transaction. Any modification to this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2.20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Exhibit E</w:t>
      </w:r>
      <w:r>
        <w:rPr>
          <w:color w:val="000000"/>
        </w:rPr>
        <w:t xml:space="preserve"> </w:t>
      </w:r>
      <w:r>
        <w:rPr>
          <w:rFonts w:ascii="Times New Roman;sans-serif" w:hAnsi="Times New Roman;sans-serif"/>
          <w:b w:val="false"/>
          <w:color w:val="000000"/>
          <w:sz w:val="22"/>
        </w:rPr>
        <w:t xml:space="preserve">and the related definitions (solely as used in such Section, Schedule or Exhibit and the related definitions) and provisions shall be subject only to the consent of the Required Lenders, along with the Borrower, the Sustainability Coordinator and the Administrative Agent so long as such modification does not have the effect of reducing the Applicable Rate for Benchmark Loans, Daily Simple SOFR Loans, ABR Loans or Facility Fees to a level not otherwise permitted by </w:t>
      </w:r>
      <w:r>
        <w:rPr>
          <w:rFonts w:ascii="Times New Roman;sans-serif" w:hAnsi="Times New Roman;sans-serif"/>
          <w:b w:val="false"/>
          <w:color w:val="000000"/>
          <w:sz w:val="22"/>
          <w:u w:val="single"/>
        </w:rPr>
        <w:t>Section 2.20(b)</w:t>
      </w:r>
      <w:r>
        <w:rPr>
          <w:color w:val="000000"/>
        </w:rPr>
        <w:t xml:space="preserve"> </w:t>
      </w:r>
      <w:r>
        <w:rPr>
          <w:rFonts w:ascii="Times New Roman;sans-serif" w:hAnsi="Times New Roman;sans-serif"/>
          <w:b w:val="false"/>
          <w:color w:val="000000"/>
          <w:sz w:val="22"/>
        </w:rPr>
        <w:t>as of the Amendment No. 1 Effective Date.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(h)    The Sustainability Coordinator may at any time give written notice of its resignation to the Administrative Agent, the Lenders and the Borrower, which resignation shall be effective on the date set forth in such notice (the “</w:t>
      </w:r>
      <w:r>
        <w:rPr>
          <w:rFonts w:ascii="Times New Roman;sans-serif" w:hAnsi="Times New Roman;sans-serif"/>
          <w:b w:val="false"/>
          <w:color w:val="000000"/>
          <w:sz w:val="22"/>
          <w:u w:val="single"/>
        </w:rPr>
        <w:t>Sustainability Coordinator Resignation Effective Date</w:t>
      </w:r>
      <w:r>
        <w:rPr>
          <w:color w:val="000000"/>
        </w:rPr>
        <w:t>”</w:t>
      </w:r>
      <w:r>
        <w:rPr>
          <w:rFonts w:ascii="Times New Roman;sans-serif" w:hAnsi="Times New Roman;sans-serif"/>
          <w:b w:val="false"/>
          <w:color w:val="000000"/>
          <w:sz w:val="22"/>
        </w:rPr>
        <w:t xml:space="preserve">). Upon receipt of any such notice of resignation, the Borrower shall have the right to appoint a successor, which may be a Lender or Affiliate of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no event shall any such successor Sustainability Coordinator be a Defaulting Lender. With effect from the Sustainability Coordinator Resignation Effective Date, the retiring Sustainability Coordinator shall be discharged from any duties and obligations hereunder and under the other Loan Documents. Upon the acceptance of a successor’s appointment as Sustainability Coordinator hereunder, such successor shall succeed to and become vested with all of the rights, powers, privileges and duties of the retiring Sustainability Coordinator (other than any rights to indemnity payments owed to the retiring Sustainability Coordinator), and the retiring Sustainability Coordinator shall be discharged from any duties and obligations hereunder or under the other Loan Documents. After the retiring Sustainability Coordinator’s resignation hereunder and under the other Loan Documents, the provisions of </w:t>
      </w:r>
      <w:r>
        <w:rPr>
          <w:rFonts w:ascii="Times New Roman;sans-serif" w:hAnsi="Times New Roman;sans-serif"/>
          <w:b w:val="false"/>
          <w:color w:val="000000"/>
          <w:sz w:val="22"/>
          <w:u w:val="single"/>
        </w:rPr>
        <w:t>Section 9.03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9.15</w:t>
      </w:r>
      <w:r>
        <w:rPr>
          <w:color w:val="000000"/>
        </w:rPr>
        <w:t xml:space="preserve"> </w:t>
      </w:r>
      <w:r>
        <w:rPr>
          <w:rFonts w:ascii="Times New Roman;sans-serif" w:hAnsi="Times New Roman;sans-serif"/>
          <w:b w:val="false"/>
          <w:color w:val="000000"/>
          <w:sz w:val="22"/>
        </w:rPr>
        <w:t>shall continue in effect for the benefit of such retiring Sustainability Coordinator and its Related Parties in respect of any actions taken or omitted to be taken by any of them while the retiring Sustainability Coordinator was acting as Sustainability Coordinator.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2.21    </w:t>
      </w:r>
      <w:r>
        <w:rPr>
          <w:rFonts w:ascii="Times New Roman;sans-serif" w:hAnsi="Times New Roman;sans-serif"/>
          <w:b w:val="false"/>
          <w:color w:val="000000"/>
          <w:sz w:val="22"/>
          <w:u w:val="single"/>
        </w:rPr>
        <w:t>Illegality</w:t>
      </w:r>
      <w:r>
        <w:rPr>
          <w:rFonts w:ascii="Times New Roman;sans-serif" w:hAnsi="Times New Roman;sans-serif"/>
          <w:b w:val="false"/>
          <w:color w:val="000000"/>
          <w:sz w:val="22"/>
        </w:rPr>
        <w:t xml:space="preserve">. If any Lender determines that any law has made it unlawful, or that any Governmental Authority has asserted that it is unlawful, for any Lender or its applicable lending office to make, maintain or fund Loans whose interest is determined by reference to a Applicable Reference Rate, or to determine or charge interest rates based upon a Applicable Reference Rate or to purchase or sell, or to take deposits of, any Applicable Currency in the applicable interbank market, then, upon notice thereof by such Lender to the Borrower (through the Administrative Agent), (a) any obligation of such Lender to make or maintain Alternative Currency Loans in the affected currency or currencies or, in the case of Loans denominated in Dollars, to make or maintain Term SOFR Loans or Daily Simple SOFR Loans or to convert Base Rate Loans to Term SOFR Loans or Daily Simple SOFR Loans shall be, in each case, suspended, and (b) if such notice asserts the illegality of such Lender making or maintaining Base Rate Loans the interest rate on which is determined by reference to clause (b) of the definition of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all Term SOFR Loans, Daily Simple SOFR Loans or Alternative Currency Loans, as applicable, in the affected currency or currencies or, if applicable and such Loans are denominated in Dollars, convert </w:t>
      </w:r>
    </w:p>
    <w:p>
      <w:pPr>
        <w:pStyle w:val="TextBody"/>
        <w:bidi w:val="0"/>
        <w:spacing w:before="0" w:after="24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all Term SOFR Loans and Daily Simple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Alternative Currency Loans, on the last day of the Interest Period therefor if such Lender may lawfully continue to maintain such Alternative Currency Loans to such day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Section 2.14.</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III</w:t>
        <w:br/>
        <w:br/>
        <w:t>REPRESENTATIONS AND WARRANTIES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Borrower represents and warrants to the Lenders that: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3.01    </w:t>
      </w:r>
      <w:r>
        <w:rPr>
          <w:rFonts w:ascii="Times New Roman;sans-serif" w:hAnsi="Times New Roman;sans-serif"/>
          <w:b w:val="false"/>
          <w:color w:val="000000"/>
          <w:sz w:val="22"/>
          <w:u w:val="single"/>
        </w:rPr>
        <w:t>Organization; Powers</w:t>
      </w:r>
      <w:r>
        <w:rPr>
          <w:rFonts w:ascii="Times New Roman;sans-serif" w:hAnsi="Times New Roman;sans-serif"/>
          <w:b w:val="false"/>
          <w:color w:val="000000"/>
          <w:sz w:val="22"/>
        </w:rPr>
        <w:t>. Each of the Borrower and its Material Subsidiaries (a) is duly organized, validly existing and (where such concept exists) in good standing (or its equivalent, if any) under the laws of the jurisdiction of its organization except to the extent failure to do so (other than with respect to the Borrower) would not reasonably be expected to have a Material Adverse Effect, (b) has all requisite corporate power and authority to carry on its business as now conducted except where the failure to have the same would not reasonably be expected to have a Material Adverse Effect and (c) is qualified to do business in, and (where such concept exists) is in good standing (or its equivalent, if any) in, every jurisdiction where such qualification is required except where the failure to be so qualified or to be (where such concept exists) in good standing (or its equivalent, if any) would not reasonably be expected to have a Material Adverse Effect.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3.02    </w:t>
      </w:r>
      <w:r>
        <w:rPr>
          <w:rFonts w:ascii="Times New Roman;sans-serif" w:hAnsi="Times New Roman;sans-serif"/>
          <w:b w:val="false"/>
          <w:color w:val="000000"/>
          <w:sz w:val="22"/>
          <w:u w:val="single"/>
        </w:rPr>
        <w:t>Authorization; Enforceability</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Transactions to be entered into and the execution and delivery of this Agreement and each other Loan Document to which it is a party by the Borrower are within the Borrower’s corporate powers and have been or will by the time required be duly authorized by all necessary corporate or other action.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This Agreement has been duly executed and delivered by the Borrower and constitutes, and each other Loan Document to which the Borrower is to be a party, when executed and delivered by the Borrower, will constitute,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3.03    </w:t>
      </w:r>
      <w:r>
        <w:rPr>
          <w:rFonts w:ascii="Times New Roman;sans-serif" w:hAnsi="Times New Roman;sans-serif"/>
          <w:b w:val="false"/>
          <w:color w:val="000000"/>
          <w:sz w:val="22"/>
          <w:u w:val="single"/>
        </w:rPr>
        <w:t>Governmental Approvals; No Conflicts</w:t>
      </w:r>
      <w:r>
        <w:rPr>
          <w:rFonts w:ascii="Times New Roman;sans-serif" w:hAnsi="Times New Roman;sans-serif"/>
          <w:b w:val="false"/>
          <w:color w:val="000000"/>
          <w:sz w:val="22"/>
        </w:rPr>
        <w:t xml:space="preserve">. The Transactions and the execution and delivery of this Agreement by the Borrower (a) do not require any consent or approval of, registration or filing with, or any other action by, any Governmental Authority, except such as have been, or will be by the time required, obtained or made and are, or will be by the time required, in full force and effect, (b) will not violate the Organizational Documents of the Borrower, (c) will not violate any </w:t>
      </w:r>
    </w:p>
    <w:p>
      <w:pPr>
        <w:pStyle w:val="TextBody"/>
        <w:bidi w:val="0"/>
        <w:spacing w:before="0" w:after="240"/>
        <w:jc w:val="righ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Requirement of Law applicable to the Borrower, (d) will not violate or result in a default under any indenture, agreement or other instrument binding upon the Borrower or any Subsidiary or their respective assets, or give rise to a right thereunder to require any payment to be made by the Borrower or any Subsidiary or give rise to a right of, or result in, termination, cancellation or acceleration of any obligation thereunder, and (e) will not result in the creation or imposition of any Lien on any asset of the Borrower or any Subsidiary, except Liens permitted by Section 6.02, except, in the case of clauses (c) and (d), for any such violations, defaults or rights that, would not reasonably be expected to have a Material Adverse Effect.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3.04    </w:t>
      </w:r>
      <w:r>
        <w:rPr>
          <w:rFonts w:ascii="Times New Roman;sans-serif" w:hAnsi="Times New Roman;sans-serif"/>
          <w:b w:val="false"/>
          <w:color w:val="000000"/>
          <w:sz w:val="22"/>
          <w:u w:val="single"/>
        </w:rPr>
        <w:t>Financial Condition; No Material Adverse Change</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Borrower has heretofore furnished to the Lenders or publicly filed its consolidated balance sheet as of the end of the fiscal year ended December 31, 2021 and consolidated statements of income, stockholders’ equity and cash flows for the fiscal year ended December 31, 2021, in each case reported on by Ernst &amp; Young LLP, independent public accountants for the Borrower. Such financial statements present fairly, in all material respects, the financial position and results of operations and cash flows of the Borrower and its consolidated subsidiaries as of such dates and for such periods in accordance with GAAP consistently applied.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As of the Closing Date, no event, change or condition has occurred that has had, or would reasonably be expected to have, a Material Adverse Effect since December 31, 2021.</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3.05    </w:t>
      </w:r>
      <w:r>
        <w:rPr>
          <w:rFonts w:ascii="Times New Roman;sans-serif" w:hAnsi="Times New Roman;sans-serif"/>
          <w:b w:val="false"/>
          <w:color w:val="000000"/>
          <w:sz w:val="22"/>
          <w:u w:val="single"/>
        </w:rPr>
        <w:t>Properties</w:t>
      </w:r>
      <w:r>
        <w:rPr>
          <w:rFonts w:ascii="Times New Roman;sans-serif" w:hAnsi="Times New Roman;sans-serif"/>
          <w:b w:val="false"/>
          <w:color w:val="000000"/>
          <w:sz w:val="22"/>
        </w:rPr>
        <w:t>. Except as would not reasonably be expected to have a Material Adverse Effect: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each of the Borrower and the Subsidiaries has good title to, or valid leasehold interests in, all its real and personal property material to its business, except for minor defects in title that do not interfere with its ability to conduct its business as currently conducted or as proposed to be conducted or to utilize such properties for their intended purposes;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Borrower and the Subsidiaries own, or are licensed to use, all trademarks, trade names, copyrights, patents and other intellectual property material to the business of the Borrower and the Subsidiaries, taken as a whole, and the use thereof by the Borrower or such Subsidiary, as applicable, does not infringe upon the rights of any other Person.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3.06    </w:t>
      </w:r>
      <w:r>
        <w:rPr>
          <w:rFonts w:ascii="Times New Roman;sans-serif" w:hAnsi="Times New Roman;sans-serif"/>
          <w:b w:val="false"/>
          <w:color w:val="000000"/>
          <w:sz w:val="22"/>
          <w:u w:val="single"/>
        </w:rPr>
        <w:t>Litigation Matters</w:t>
      </w:r>
      <w:r>
        <w:rPr>
          <w:rFonts w:ascii="Times New Roman;sans-serif" w:hAnsi="Times New Roman;sans-serif"/>
          <w:b w:val="false"/>
          <w:color w:val="000000"/>
          <w:sz w:val="22"/>
        </w:rPr>
        <w:t>. As of the Closing Date, there are no actions, suits or proceedings by or before any arbitrator or Governmental Authority pending against or, to the knowledge of the Borrower, threatened against the Borrower or any Subsidiary that would reasonably be expected to have a Material Adverse Effect (other than the Disclosed Matters).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3.07    </w:t>
      </w:r>
      <w:r>
        <w:rPr>
          <w:rFonts w:ascii="Times New Roman;sans-serif" w:hAnsi="Times New Roman;sans-serif"/>
          <w:b w:val="false"/>
          <w:color w:val="000000"/>
          <w:sz w:val="22"/>
          <w:u w:val="single"/>
        </w:rPr>
        <w:t>Compliance with Laws</w:t>
      </w:r>
      <w:r>
        <w:rPr>
          <w:rFonts w:ascii="Times New Roman;sans-serif" w:hAnsi="Times New Roman;sans-serif"/>
          <w:b w:val="false"/>
          <w:color w:val="000000"/>
          <w:sz w:val="22"/>
        </w:rPr>
        <w:t>. Each of the Borrower and the Subsidiaries is in compliance with all Requirements of Law applicable to it or its property, except where the failure to do so would not reasonably be expected to have a Material Adverse Effect.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3.08    </w:t>
      </w:r>
      <w:r>
        <w:rPr>
          <w:rFonts w:ascii="Times New Roman;sans-serif" w:hAnsi="Times New Roman;sans-serif"/>
          <w:b w:val="false"/>
          <w:color w:val="000000"/>
          <w:sz w:val="22"/>
          <w:u w:val="single"/>
        </w:rPr>
        <w:t>Investment Company Status</w:t>
      </w:r>
      <w:r>
        <w:rPr>
          <w:rFonts w:ascii="Times New Roman;sans-serif" w:hAnsi="Times New Roman;sans-serif"/>
          <w:b w:val="false"/>
          <w:color w:val="000000"/>
          <w:sz w:val="22"/>
        </w:rPr>
        <w:t>. None of the Borrower or any Subsidiary is an “investment company” as defined in, or subject to regulation as an “investment company” under, the Investment Company Act of 1940.</w:t>
      </w:r>
    </w:p>
    <w:p>
      <w:pPr>
        <w:pStyle w:val="TextBody"/>
        <w:bidi w:val="0"/>
        <w:spacing w:before="0" w:after="24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3.09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Except (a) for failures that would not reasonably be expected to have a Material Adverse Effect and (b) with respect to Taxes that are being contested in good faith by appropriate proceedings and adequate reserves for such Taxes have been provided on the books of the Borrower or its Subsidiaries in accordance with GAAP, the Borrower and each of its Subsidiaries has (i) timely filed or caused to be filed (taking into account valid extensions) all Tax returns and reports required to have been filed, and (ii) paid or caused to be paid all Taxes required to have been paid by it (including any such Taxes in the capacity of a withholding agent).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3.10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3.11    </w:t>
      </w:r>
      <w:r>
        <w:rPr>
          <w:rFonts w:ascii="Times New Roman;sans-serif" w:hAnsi="Times New Roman;sans-serif"/>
          <w:b w:val="false"/>
          <w:color w:val="000000"/>
          <w:sz w:val="22"/>
          <w:u w:val="single"/>
        </w:rPr>
        <w:t>Disclosure</w:t>
      </w:r>
      <w:r>
        <w:rPr>
          <w:rFonts w:ascii="Times New Roman;sans-serif" w:hAnsi="Times New Roman;sans-serif"/>
          <w:b w:val="false"/>
          <w:color w:val="000000"/>
          <w:sz w:val="22"/>
        </w:rPr>
        <w:t xml:space="preserve">. To the best of the Borrower’s knowledge, none of the reports, financial statements, certificates or any other information (other than information of a general economic or general industry nature) furnished in writing by or on behalf of the Borrower to the Administrative Agent or any Lender in connection with the negotiation of any Loan Document or delivered thereunder (as modified or supplemented by other information so furnished and taken together as a whole) contains any untrue statement of material fact or omits to state any material fact necessary to make the statements therein, in the light of the circumstances under which they were made, not materially misleading;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any such information consisting of projections, forecasts and other forward-looking statements with respect to the Borrower or any of its Subsidiaries (collectively, the “</w:t>
      </w:r>
      <w:r>
        <w:rPr>
          <w:rFonts w:ascii="Times New Roman;sans-serif" w:hAnsi="Times New Roman;sans-serif"/>
          <w:b w:val="false"/>
          <w:color w:val="000000"/>
          <w:sz w:val="22"/>
          <w:u w:val="single"/>
        </w:rPr>
        <w:t>Projections</w:t>
      </w:r>
      <w:r>
        <w:rPr>
          <w:color w:val="000000"/>
        </w:rPr>
        <w:t>”</w:t>
      </w:r>
      <w:r>
        <w:rPr>
          <w:rFonts w:ascii="Times New Roman;sans-serif" w:hAnsi="Times New Roman;sans-serif"/>
          <w:b w:val="false"/>
          <w:color w:val="000000"/>
          <w:sz w:val="22"/>
        </w:rPr>
        <w:t>), the Borrower represents only that any such Projections will be prepared based upon good faith assumptions believed by it to be reasonable at the time delivered (it being understood that such Projections are not to be viewed as facts, are subject to significant uncertainties and contingencies, many of which are beyond the control of the Borrower and its Subsidiaries, that no guarantee or other assurance can be given that any Projections will be realized, and that actual results may differ from Projections and such difference may be material).</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3.12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3.13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3.14    </w:t>
      </w:r>
      <w:r>
        <w:rPr>
          <w:rFonts w:ascii="Times New Roman;sans-serif" w:hAnsi="Times New Roman;sans-serif"/>
          <w:b w:val="false"/>
          <w:color w:val="000000"/>
          <w:sz w:val="22"/>
          <w:u w:val="single"/>
        </w:rPr>
        <w:t>Federal Reserve Regulations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Borrower is not engaged principally, or as one of its important activities, in the business of extending credit for the purpose of buying or carrying Margin Stock.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Taking into account all of the Transactions, no part of the proceeds of the Loans will be used for any purpose that violates the provisions of the Regulations of the Board, including Regulation T, U or X.</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3.15    </w:t>
      </w:r>
      <w:r>
        <w:rPr>
          <w:rFonts w:ascii="Times New Roman;sans-serif" w:hAnsi="Times New Roman;sans-serif"/>
          <w:b w:val="false"/>
          <w:color w:val="000000"/>
          <w:sz w:val="22"/>
          <w:u w:val="single"/>
        </w:rPr>
        <w:t>OFAC</w:t>
      </w:r>
      <w:r>
        <w:rPr>
          <w:rFonts w:ascii="Times New Roman;sans-serif" w:hAnsi="Times New Roman;sans-serif"/>
          <w:b w:val="false"/>
          <w:color w:val="000000"/>
          <w:sz w:val="22"/>
        </w:rPr>
        <w:t>. Neither the Borrower, nor any of its Subsidiaries, nor, to the knowledge of the Borrower and its Subsidiaries, any director, officer or employee thereof, is an individual or entity that is, or is owned or controlled by one or more individuals or entities that are (a) currently the subject of any Sanctions, (b) included on OFAC’s List of Specially Designated Nationals or HMT’s Consolidated List of Financial Sanctions Targets or (c) located, organized or resident in a Designated Jurisdiction. Since the Closing Date, the Borrower and its Subsidiaries have conducted their businesses in compliance in all material respects with all applicable Sanctions.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3.16    </w:t>
      </w:r>
      <w:r>
        <w:rPr>
          <w:rFonts w:ascii="Times New Roman;sans-serif" w:hAnsi="Times New Roman;sans-serif"/>
          <w:b w:val="false"/>
          <w:color w:val="000000"/>
          <w:sz w:val="22"/>
          <w:u w:val="single"/>
        </w:rPr>
        <w:t>Anti-Corruption Laws and Patriot Act</w:t>
      </w:r>
      <w:r>
        <w:rPr>
          <w:rFonts w:ascii="Times New Roman;sans-serif" w:hAnsi="Times New Roman;sans-serif"/>
          <w:b w:val="false"/>
          <w:color w:val="000000"/>
          <w:sz w:val="22"/>
        </w:rPr>
        <w:t xml:space="preserve">. Since the Closing Date, the Borrower and its Subsidiaries have conducted their businesses in compliance in all material respects with </w:t>
      </w:r>
    </w:p>
    <w:p>
      <w:pPr>
        <w:pStyle w:val="TextBody"/>
        <w:bidi w:val="0"/>
        <w:spacing w:before="0" w:after="24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applicable Anti-Corruption Laws and the Patriot Act, as amended, and regulations thereunder, and have instituted and maintained policies and procedures reasonably designed to achieve compliance with such laws and regulations.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3.17    </w:t>
      </w:r>
      <w:r>
        <w:rPr>
          <w:rFonts w:ascii="Times New Roman;sans-serif" w:hAnsi="Times New Roman;sans-serif"/>
          <w:b w:val="false"/>
          <w:color w:val="000000"/>
          <w:sz w:val="22"/>
          <w:u w:val="single"/>
        </w:rPr>
        <w:t>Affected Financial Institution</w:t>
      </w:r>
      <w:r>
        <w:rPr>
          <w:rFonts w:ascii="Times New Roman;sans-serif" w:hAnsi="Times New Roman;sans-serif"/>
          <w:b w:val="false"/>
          <w:color w:val="000000"/>
          <w:sz w:val="22"/>
        </w:rPr>
        <w:t>. The Borrower is not an Affected Financial Institution.</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IV</w:t>
        <w:br/>
        <w:br/>
        <w:t>CONDITIONS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4.01    </w:t>
      </w:r>
      <w:r>
        <w:rPr>
          <w:rFonts w:ascii="Times New Roman;sans-serif" w:hAnsi="Times New Roman;sans-serif"/>
          <w:b w:val="false"/>
          <w:color w:val="000000"/>
          <w:sz w:val="22"/>
          <w:u w:val="single"/>
        </w:rPr>
        <w:t>Conditions to the Closing Date</w:t>
      </w:r>
      <w:r>
        <w:rPr>
          <w:rFonts w:ascii="Times New Roman;sans-serif" w:hAnsi="Times New Roman;sans-serif"/>
          <w:b w:val="false"/>
          <w:color w:val="000000"/>
          <w:sz w:val="22"/>
        </w:rPr>
        <w:t>. This Agreement and the obligations of the Lenders to make Loans and of the Issuing Banks to make LC Credit Extensions hereunder shall become effective on the first date when each of the following conditions is satisfied (or waived in accordance with Section 9.02):</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Administrative Agent shall have received the following, each of which shall be originals, telecopies or electronic copies unless otherwise specified, and each properly executed by a Responsible Officer of the Borrower (other than with respect to subclauses (iv) and (v) below), each dated a date on or prior to the Closing Date: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executed counterparts of this Agreement from the Borrower;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    a promissory note executed by the Borrower in favor of each Lender requesting three Business Days in advance a promissory note evidencing the Loan provided by such Lender;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(iii)    such customary certificates of resolutions or other action, incumbency certificates and/or other certificates of Responsible Officers of the Borrower as the Administrative Agent may reasonably require evidencing the identity, authority and capacity of each Responsible Officer thereof authorized to act as a Responsible Officer in connection with this Agreement and the other Loan Documents to which the Borrower is a party or is to be a party;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(iv)    a certificate of good standing for the Borrower from its jurisdiction of organization;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    a customary opinion of Skadden, Arps, Slate, Meagher &amp; Flom LLP, counsel to the Borrower, addressed to the Administrative Agent and each Lender (as of the Closing Date);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(vi)    a certificate signed by a Financial Officer of the Borrower certifying that the conditions specified in Section 4.02(a) and (b) have been satisfied.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All reasonable and documented out-of-pocket fees and expenses of the Administrative Agent and the Arrangers (in the case of legal fees, limited to the reasonable and documented fees and expenses of a single counsel for the Administrative Agent and the Arrangers) required to be paid on or before the Closing Date, in the case of expenses, to the extent invoiced at least two Business Days prior to the Closing Date, shall have been paid. The Borrower shall have paid all items then due and payable under any separate letter agreements with respect to fees payable on or prior to the Closing Date in connection with the syndication of the Loans and Commitments.</w:t>
      </w:r>
    </w:p>
    <w:p>
      <w:pPr>
        <w:pStyle w:val="TextBody"/>
        <w:bidi w:val="0"/>
        <w:spacing w:before="0" w:after="240"/>
        <w:jc w:val="righ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Solely in the event that the Borrower requests Borrowings on the Closing Date, the Administrative Agent shall have received a Borrowing Request in accordance with the requirements of Section 2.03 hereof.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The Administrative Agent shall have received, at least three Business Days prior to the Closing Date, all documentation and other information regarding the Borrower required by regulatory authorities under applicable “know your customer” and anti-money laundering rules and regulations, including without limitation the Patriot Act and, to the extent applicable, the Beneficial Ownership Regulation, to the extent requested in writing by any Lender at least ten Business Days prior to the Closing Date.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(e)    Prior to, or substantially concurrently with, the Closing Date, all principal, interest and fees due under the Existing Credit Agreement shall have been paid and all rights and obligations of the parties thereunder and all commitments thereunder shall have been terminated (the “</w:t>
      </w:r>
      <w:r>
        <w:rPr>
          <w:rFonts w:ascii="Times New Roman;sans-serif" w:hAnsi="Times New Roman;sans-serif"/>
          <w:b w:val="false"/>
          <w:color w:val="000000"/>
          <w:sz w:val="22"/>
          <w:u w:val="single"/>
        </w:rPr>
        <w:t>Refinancing</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Upon the satisfaction or waiver of such conditions, the Administrative Agent shall notify the Borrower and the Lenders of the Closing Date in writing, and such notice shall be conclusive and binding.</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4.02    </w:t>
      </w:r>
      <w:r>
        <w:rPr>
          <w:rFonts w:ascii="Times New Roman;sans-serif" w:hAnsi="Times New Roman;sans-serif"/>
          <w:b w:val="false"/>
          <w:color w:val="000000"/>
          <w:sz w:val="22"/>
          <w:u w:val="single"/>
        </w:rPr>
        <w:t>Each Credit Event</w:t>
      </w:r>
      <w:r>
        <w:rPr>
          <w:rFonts w:ascii="Times New Roman;sans-serif" w:hAnsi="Times New Roman;sans-serif"/>
          <w:b w:val="false"/>
          <w:color w:val="000000"/>
          <w:sz w:val="22"/>
        </w:rPr>
        <w:t>. The obligation of each Lender to make a Loan on the occasion of any Borrowing, and of the Issuing Banks to make any LC Credit Extension, is subject to receipt of the request therefor in accordance herewith and to the satisfaction of the following conditions: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representations and warranties of the Borrower set forth in the Loan Documents shall be true and correct in all material respects (other than, in the case of any Borrowing made following the Closing Date, the representations and warranties made in Sections 3.04(b) and 3.06) on and as of the date of such Borrowing or the date of issuance, amendment, renewal or extension of such Letter of Credit, as the case may be (except to the extent that any representation and warranty expressly relates to an earlier date, in which case such representation and warranty shall have been true and correct in all material respects as of such earlier date).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at the time of and immediately after giving effect to such Borrowing or the issuance, amendment, renewal or extension of such Letter of Credit, as the case may be, no Default shall have occurred and be continuing.</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Each Borrowing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conversion or a continuation of a Borrowing shall not constitute a “Borrowing” for purposes of this Section 4.02) and each LC Credit Extension shall be deemed to constitute a representation and warranty by the Borrower on the date thereof as to the matters specified in paragraphs (a) and (b) of this Section 4.02.</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w:t>
        <w:br/>
        <w:br/>
        <w:t>AFFIRMATIVE COVENANTS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Beginning on the Closing Date after giving effect to the Loans made on the Closing Date and continuing thereafter until the Commitments have expired or been terminated and the principal of and interest on each Loan and all fees, expenses and other amounts payable under any Loan Document (other than contingent amounts not yet due) shall have been paid in full and all Letters of Credit shall have expired, been terminated or been Cash Collateralized on terms reasonably acceptable to the Issuing Banks </w:t>
      </w:r>
    </w:p>
    <w:p>
      <w:pPr>
        <w:pStyle w:val="TextBody"/>
        <w:bidi w:val="0"/>
        <w:spacing w:before="0" w:after="240"/>
        <w:jc w:val="righ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and all LC Disbursements shall have been reimbursed, the Borrower covenants and agrees with the Lenders that: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5.01    </w:t>
      </w:r>
      <w:r>
        <w:rPr>
          <w:rFonts w:ascii="Times New Roman;sans-serif" w:hAnsi="Times New Roman;sans-serif"/>
          <w:b w:val="false"/>
          <w:color w:val="000000"/>
          <w:sz w:val="22"/>
          <w:u w:val="single"/>
        </w:rPr>
        <w:t>Financial Statements and Other Information</w:t>
      </w:r>
      <w:r>
        <w:rPr>
          <w:rFonts w:ascii="Times New Roman;sans-serif" w:hAnsi="Times New Roman;sans-serif"/>
          <w:b w:val="false"/>
          <w:color w:val="000000"/>
          <w:sz w:val="22"/>
        </w:rPr>
        <w:t>. The Borrower will furnish to the Administrative Agent on behalf of each Lender: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within 90 days (or, if earlier, as soon as filed with the SEC) after the end of each fiscal year of the Borrower, commencing with the fiscal year ending December 31, 2022, its audited consolidated balance sheet and audited consolidated statements of income, changes in equity and cash flows as of the end of and for such year, and related notes thereto, setting forth in each case in comparative form the figures for the previous fiscal year, all reported on by Ernst &amp; Young LLP or other independent public accountants of recognized national standing (without a “going concern” or like qualification or exception or any qualification or exception as to the scope of such audit) to the effect that such consolidated financial statements present fairly in all material respects the financial condition and results of operations of the Borrower and the Subsidiaries on a consolidated basis in accordance with GAAP consistently applied;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within 45 days (or, if earlier, as soon as filed with the SEC) after the end of each of the first three fiscal quarters of each fiscal year of the Borrower, commencing with the fiscal quarter ending March 31, 2023, its unaudited consolidated balance sheet as of the end of such fiscal quarter, unaudited consolidated statement of income as of the end of and for such fiscal quarter and the then elapsed portion of the fiscal year and unaudited statement of cash flows as of the end of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the Subsidiaries on a consolidated basis in accordance with GAAP consistently applied, subject to normal year-end audit adjustments and the absence of footnotes;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    concurrently with any delivery of financial statements under paragraph (a) or (b) above, a certificate (a “</w:t>
      </w:r>
      <w:r>
        <w:rPr>
          <w:rFonts w:ascii="Times New Roman;sans-serif" w:hAnsi="Times New Roman;sans-serif"/>
          <w:b w:val="false"/>
          <w:color w:val="000000"/>
          <w:sz w:val="22"/>
          <w:u w:val="single"/>
        </w:rPr>
        <w:t>Compliance Certificate</w:t>
      </w:r>
      <w:r>
        <w:rPr>
          <w:color w:val="000000"/>
        </w:rPr>
        <w:t>”</w:t>
      </w:r>
      <w:r>
        <w:rPr>
          <w:rFonts w:ascii="Times New Roman;sans-serif" w:hAnsi="Times New Roman;sans-serif"/>
          <w:b w:val="false"/>
          <w:color w:val="000000"/>
          <w:sz w:val="22"/>
        </w:rPr>
        <w:t>) of a Financial Officer (i) stating that, except as set forth in such Compliance Certificate, such Financial Officer has no knowledge of any Default existing as of such date and, if a Default does exist, specifying the details thereof and any action taken or proposed to be taken with respect thereto, (ii) setting forth reasonably detailed calculations (including the amounts representing each clause set forth in the definition of “Consolidated EBITDA”) demonstrating compliance with the covenant contained in Section 6.06 and (iii) to the extent that any change in GAAP or application thereof has a material impact on such financial statements, stating whether any change in GAAP or in the application thereof has occurred since the date of the Borrower’s audited financial statements referred to in Section 3.04 and, if any such change has occurred, specifying the effect of such change on the financial statements accompanying such Compliance Certificate;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promptly after the same become publicly available, copies of all periodic reports, proxy statements and other material filings (as reasonably determined by the Borrower) filed by the Borrower or any Subsidiary with the SEC or with any national securities exchange, or distributed by the Borrower to the holders of its Equity Interests generally;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promptly following any request therefor, such other information regarding the operations, business affairs and financial condition of the Borrower or any Subsidiary, or compliance with the terms of any Loan Document, as the Administrative Agent, any Arrangers or any Lenders may reasonably request; and</w:t>
      </w:r>
    </w:p>
    <w:p>
      <w:pPr>
        <w:pStyle w:val="TextBody"/>
        <w:bidi w:val="0"/>
        <w:spacing w:before="0" w:after="240"/>
        <w:jc w:val="righ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promptly following any request therefor, information and documentation reasonably requested by the Administrative Agent or any Lender for purposes of compliance with applicable “know your customer” and anti-money laundering rules and regulations, including, without limitation, the Patriot Act and the Beneficial Ownership Regulation.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(g)    within 180 days following the end of the most recent calendar year of the Borrower (commencing with the calendar year ending December 31, 2023), a Sustainability Pricing Certificate for the most recently-ended calendar year;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it is understood and agreed that for any calendar year in which the Borrower fails to deliver a Sustainability Pricing Certificate, such failure shall not constitute a Default or Event of Default (but such failure to so deliver a Sustainability Pricing Certificate shall result in the Sustainability Rate Adjustment and the Sustainability Facility Fee Adjustment being applied as set forth in </w:t>
      </w:r>
      <w:r>
        <w:rPr>
          <w:rFonts w:ascii="Times New Roman;sans-serif" w:hAnsi="Times New Roman;sans-serif"/>
          <w:b w:val="false"/>
          <w:color w:val="000000"/>
          <w:sz w:val="22"/>
          <w:u w:val="single"/>
        </w:rPr>
        <w:t>Section 2.20(c)</w:t>
      </w:r>
      <w:r>
        <w:rPr>
          <w:rFonts w:ascii="Times New Roman;sans-serif" w:hAnsi="Times New Roman;sans-serif"/>
          <w:b w:val="false"/>
          <w:color w:val="000000"/>
          <w:sz w:val="22"/>
        </w:rPr>
        <w:t xml:space="preserve">). </w:t>
      </w:r>
    </w:p>
    <w:p>
      <w:pPr>
        <w:pStyle w:val="TextBody"/>
        <w:bidi w:val="0"/>
        <w:spacing w:lineRule="auto" w:line="288" w:before="0" w:after="240"/>
        <w:jc w:val="left"/>
        <w:rPr/>
      </w:pPr>
      <w:r>
        <w:rPr>
          <w:rFonts w:ascii="Times New Roman;sans-serif" w:hAnsi="Times New Roman;sans-serif"/>
          <w:b w:val="false"/>
          <w:color w:val="000000"/>
          <w:sz w:val="22"/>
        </w:rPr>
        <w:t xml:space="preserve">Information required to be delivered pursuant to clauses (a), (b) and (d) shall be deemed to have been delivered on the date on which the Borrower provides notice to the Administrative Agent and the Lenders that such information has been posted on the Borrower’s website on the Internet at http://ir.nasdaq.com/sec.cfm, at www.sec.gov/edgar/searchedgar/webusers.htm or at another website identified in such notice and accessible by the Lenders without charge;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notice may be included in a certificate delivered pursuant to clause (c).</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The Borrower hereby acknowledges that (a) the Administrative Agent and/or the Arrangers will make available to the Lenders and the Issuing Banks materials and/or information provided by or on behalf of the Borrower hereunder (collectively, “</w:t>
      </w:r>
      <w:r>
        <w:rPr>
          <w:rFonts w:ascii="Times New Roman;sans-serif" w:hAnsi="Times New Roman;sans-serif"/>
          <w:b w:val="false"/>
          <w:color w:val="000000"/>
          <w:sz w:val="22"/>
          <w:u w:val="single"/>
        </w:rPr>
        <w:t>Borrower Materials</w:t>
      </w:r>
      <w:r>
        <w:rPr>
          <w:color w:val="000000"/>
        </w:rPr>
        <w:t>”</w:t>
      </w:r>
      <w:r>
        <w:rPr>
          <w:rFonts w:ascii="Times New Roman;sans-serif" w:hAnsi="Times New Roman;sans-serif"/>
          <w:b w:val="false"/>
          <w:color w:val="000000"/>
          <w:sz w:val="22"/>
        </w:rPr>
        <w:t>) by posting the Borrower Materials on IntraLinks or another similar electronic system (the “</w:t>
      </w:r>
      <w:r>
        <w:rPr>
          <w:rFonts w:ascii="Times New Roman;sans-serif" w:hAnsi="Times New Roman;sans-serif"/>
          <w:b w:val="false"/>
          <w:color w:val="000000"/>
          <w:sz w:val="22"/>
          <w:u w:val="single"/>
        </w:rPr>
        <w:t>Platform</w:t>
      </w:r>
      <w:r>
        <w:rPr>
          <w:color w:val="000000"/>
        </w:rPr>
        <w:t>”</w:t>
      </w:r>
      <w:r>
        <w:rPr>
          <w:rFonts w:ascii="Times New Roman;sans-serif" w:hAnsi="Times New Roman;sans-serif"/>
          <w:b w:val="false"/>
          <w:color w:val="000000"/>
          <w:sz w:val="22"/>
        </w:rPr>
        <w:t>) and (b) certain of the Lenders may be “public-side” Lenders (</w:t>
      </w:r>
      <w:r>
        <w:rPr>
          <w:rFonts w:ascii="Times New Roman;sans-serif" w:hAnsi="Times New Roman;sans-serif"/>
          <w:b w:val="false"/>
          <w:color w:val="000000"/>
          <w:sz w:val="22"/>
          <w:u w:val="single"/>
        </w:rPr>
        <w:t>i.e</w:t>
      </w:r>
      <w:r>
        <w:rPr>
          <w:rFonts w:ascii="Times New Roman;sans-serif" w:hAnsi="Times New Roman;sans-serif"/>
          <w:b w:val="false"/>
          <w:color w:val="000000"/>
          <w:sz w:val="22"/>
        </w:rPr>
        <w:t>., Lenders that do not wish to receive material non-public information with respect to the Borrower, its Affiliates or their respective securities) (each, a “</w:t>
      </w:r>
      <w:r>
        <w:rPr>
          <w:rFonts w:ascii="Times New Roman;sans-serif" w:hAnsi="Times New Roman;sans-serif"/>
          <w:b w:val="false"/>
          <w:color w:val="000000"/>
          <w:sz w:val="22"/>
          <w:u w:val="single"/>
        </w:rPr>
        <w:t>Public Lender</w:t>
      </w:r>
      <w:r>
        <w:rPr>
          <w:color w:val="000000"/>
        </w:rPr>
        <w:t>”</w:t>
      </w:r>
      <w:r>
        <w:rPr>
          <w:rFonts w:ascii="Times New Roman;sans-serif" w:hAnsi="Times New Roman;sans-serif"/>
          <w:b w:val="false"/>
          <w:color w:val="000000"/>
          <w:sz w:val="22"/>
        </w:rPr>
        <w:t>). The Borrower hereby agrees that it will use commercially reasonable efforts to identify that portion of the Borrower Materials, if any, that may be distributed to the Public Lenders (it being understood and agreed that, unless otherwise agreed by the Borrower in writing, the Borrower shall be under no obligation to provide Borrower Materials suitable for distribution to any Public Lender)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Banks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to the extent such Borrower Materials constitute Information, they shall be treated as set forth in Section 9.12); (y) all Borrower Materials marked “PUBLIC” by the Borrower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5.02    </w:t>
      </w:r>
      <w:r>
        <w:rPr>
          <w:rFonts w:ascii="Times New Roman;sans-serif" w:hAnsi="Times New Roman;sans-serif"/>
          <w:b w:val="false"/>
          <w:color w:val="000000"/>
          <w:sz w:val="22"/>
          <w:u w:val="single"/>
        </w:rPr>
        <w:t>Notices of Material Events</w:t>
      </w:r>
      <w:r>
        <w:rPr>
          <w:rFonts w:ascii="Times New Roman;sans-serif" w:hAnsi="Times New Roman;sans-serif"/>
          <w:b w:val="false"/>
          <w:color w:val="000000"/>
          <w:sz w:val="22"/>
        </w:rPr>
        <w:t>. The Borrower will furnish to the Administrative Agent (for distribution to each Lender through the Administrative Agent) prompt written notice of the following promptly after any Responsible Officer of the Borrower obtains notice thereof: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occurrence of any Default;</w:t>
      </w:r>
    </w:p>
    <w:p>
      <w:pPr>
        <w:pStyle w:val="TextBody"/>
        <w:bidi w:val="0"/>
        <w:spacing w:before="0" w:after="240"/>
        <w:jc w:val="righ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filing or commencement of any action, suit or proceeding by or before any arbitrator or Governmental Authority against or affecting the Borrower or any of its Subsidiaries that would reasonably be expected to have a Material Adverse Effect;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within three Business Days after the occurrence of any ERISA Event that would reasonably be expected to have a Material Adverse Effect;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within five Business Days after any public announcements regarding a change in the Debt Rating;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any other development that results in, or would reasonably be expected to have, a Material Adverse Effect.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Each notice delivered under this Section 5.02 shall be accompanied by a written statement of a Responsible Officer of the Borrower setting forth the details of the event or development requiring such notice and any action taken or proposed to be taken with respect thereto.</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5.03    </w:t>
      </w:r>
      <w:r>
        <w:rPr>
          <w:rFonts w:ascii="Times New Roman;sans-serif" w:hAnsi="Times New Roman;sans-serif"/>
          <w:b w:val="false"/>
          <w:color w:val="000000"/>
          <w:sz w:val="22"/>
          <w:u w:val="single"/>
        </w:rPr>
        <w:t>Existence; Conduct of Business</w:t>
      </w:r>
      <w:r>
        <w:rPr>
          <w:rFonts w:ascii="Times New Roman;sans-serif" w:hAnsi="Times New Roman;sans-serif"/>
          <w:b w:val="false"/>
          <w:color w:val="000000"/>
          <w:sz w:val="22"/>
        </w:rPr>
        <w:t xml:space="preserve">. The Borrower will, and will cause each Material Subsidiary to, do or cause to be done all things necessary to obtain, preserve, renew and keep in full force and effect (a) its legal existence and (b) the rights, licenses, permits, privileges, franchises, patents, copyrights, trademarks and trade names material to the conduct of its business, except, in the case of this clause (b), to the extent that failure to do so would not reasonably be expected to have a Material Adverse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shall not prohibit any transaction permitted under Section 6.03 or 6.05.</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5.04    </w:t>
      </w:r>
      <w:r>
        <w:rPr>
          <w:rFonts w:ascii="Times New Roman;sans-serif" w:hAnsi="Times New Roman;sans-serif"/>
          <w:b w:val="false"/>
          <w:color w:val="000000"/>
          <w:sz w:val="22"/>
          <w:u w:val="single"/>
        </w:rPr>
        <w:t>Payment of Taxes</w:t>
      </w:r>
      <w:r>
        <w:rPr>
          <w:rFonts w:ascii="Times New Roman;sans-serif" w:hAnsi="Times New Roman;sans-serif"/>
          <w:b w:val="false"/>
          <w:color w:val="000000"/>
          <w:sz w:val="22"/>
        </w:rPr>
        <w:t>. The Borrower will, and will cause each Material Subsidiary to, pay its Tax liabilities that, if unpaid, would result in a Lien on any of its assets or properties, before the same shall become delinquent or in default, except (a) where (1) the validity or amount thereof is being contested in good faith by appropriate proceedings and (2) the Borrower or such Material Subsidiary has set aside on its books adequate reserves with respect thereto in accordance with GAAP, or (b) for any failures to pay that would not reasonably be expected to have a Material Adverse Effect.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5.05    </w:t>
      </w:r>
      <w:r>
        <w:rPr>
          <w:rFonts w:ascii="Times New Roman;sans-serif" w:hAnsi="Times New Roman;sans-serif"/>
          <w:b w:val="false"/>
          <w:color w:val="000000"/>
          <w:sz w:val="22"/>
          <w:u w:val="single"/>
        </w:rPr>
        <w:t>Maintenance of Properties</w:t>
      </w:r>
      <w:r>
        <w:rPr>
          <w:rFonts w:ascii="Times New Roman;sans-serif" w:hAnsi="Times New Roman;sans-serif"/>
          <w:b w:val="false"/>
          <w:color w:val="000000"/>
          <w:sz w:val="22"/>
        </w:rPr>
        <w:t>. The Borrower will, and will cause each Material Subsidiary to, keep and maintain all tangible property material to the conduct of its business in good working order and condition, ordinary wear and tear excepted, except (a) pursuant to transactions permitted by Section 6.03 or 6.05 or (b) where the failure to do so would not reasonably be expected to have a Material Adverse Effect.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5.06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The Borrower will, and will cause each Material Subsidiary to, maintain in all material respects, with insurance companies believed by the Borrower to be financially sound and reputable, (a) insurance in such amounts and against at least such risks as is customarily maintained by companies engaged in the same or similar businesses operating in the same or similar locations and (b) all other insurance as may be required by law. The Borrower will furnish to the Lenders, upon request of the Administrative Agent, information in reasonable detail as to the insurance so maintained.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5.07    </w:t>
      </w:r>
      <w:r>
        <w:rPr>
          <w:rFonts w:ascii="Times New Roman;sans-serif" w:hAnsi="Times New Roman;sans-serif"/>
          <w:b w:val="false"/>
          <w:color w:val="000000"/>
          <w:sz w:val="22"/>
          <w:u w:val="single"/>
        </w:rPr>
        <w:t>Books and Records; Inspection and Audit Rights</w:t>
      </w:r>
      <w:r>
        <w:rPr>
          <w:rFonts w:ascii="Times New Roman;sans-serif" w:hAnsi="Times New Roman;sans-serif"/>
          <w:b w:val="false"/>
          <w:color w:val="000000"/>
          <w:sz w:val="22"/>
        </w:rPr>
        <w:t xml:space="preserve">. The Borrower will, and will cause each Subsidiary to, keep proper books of record and account in a manner sufficient to (a) </w:t>
      </w:r>
    </w:p>
    <w:p>
      <w:pPr>
        <w:pStyle w:val="TextBody"/>
        <w:bidi w:val="0"/>
        <w:spacing w:before="0" w:after="240"/>
        <w:jc w:val="righ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permit the preparation of financial statements in accordance with GAAP and (b) calculate the financial covenant set forth in Section 6.06. Subject to Section 9.12, at reasonable times and as often as reasonably requested during the pendency of a Default or Event of Default, the Borrower will, and will cause each Subsidiary to, permit any representatives designated by the Administrative Agent or any Lender (which shall be coordinated through the Administrative Agent), upon reasonable prior notice, to visit and inspect its properties, to examine and make extracts from its books and records, and to discuss its affairs, finances and condition with its officers and independent accountants (and the Borrower shall be afforded the opportunity to participate in any discussions with such officers and independent accountants). Notwithstanding anything to the contrary in this Section 5.07, none of the Borrower or its Subsidiaries will be required to disclose, permit the inspection, examination or making of extracts, or discussion of, any documents, information or other matter that (i) in respect of which disclosure to the Administrative Agent (or, as applicable, any Lender or any of their respective designated representatives) is then prohibited by law, rule or regulation or any agreement binding on the Borrower or any of its Subsidiaries, (ii) consists of non-financial trade secrets or proprietary computer programs, client and vendor proprietary information, source code, proprietary technology and similar proprietary information or (iii) is subject to attorney-client or similar privilege or constitutes attorney work-product.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5.08    </w:t>
      </w:r>
      <w:r>
        <w:rPr>
          <w:rFonts w:ascii="Times New Roman;sans-serif" w:hAnsi="Times New Roman;sans-serif"/>
          <w:b w:val="false"/>
          <w:color w:val="000000"/>
          <w:sz w:val="22"/>
          <w:u w:val="single"/>
        </w:rPr>
        <w:t>Compliance with Laws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Borrower will, and will cause each Subsidiary to, comply with all Requirements of Law with respect to it or its property, except where the failure to do so would not reasonably be expected to have a Material Adverse Effect.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Borrower will maintain in effect and enforce policies and procedures reasonably designed to achieve compliance in all material respects by the Borrower, its Subsidiaries and their respective directors, officers, employees and agents with Anti-Corruption Laws and applicable Sanctions.</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w:t>
        <w:br/>
        <w:br/>
        <w:t>NEGATIVE COVENANTS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Beginning on the Closing Date after giving effect to the Loans made on the Closing Date and continuing thereafter until the Commitments have expired or been terminated and the principal of and interest on each Loan and all fees, expenses and other amounts payable (other than contingent amounts not yet due) under any Loan Document have been paid in full and all Letters of Credit have expired, been terminated or been Cash Collateralized on terms reasonably acceptable to the Issuing Banks, the Borrower covenants and agrees with the Lenders that: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6.01    </w:t>
      </w:r>
      <w:r>
        <w:rPr>
          <w:rFonts w:ascii="Times New Roman;sans-serif" w:hAnsi="Times New Roman;sans-serif"/>
          <w:b w:val="false"/>
          <w:color w:val="000000"/>
          <w:sz w:val="22"/>
          <w:u w:val="single"/>
        </w:rPr>
        <w:t>Indebtedness of Subsidiaries</w:t>
      </w:r>
      <w:r>
        <w:rPr>
          <w:rFonts w:ascii="Times New Roman;sans-serif" w:hAnsi="Times New Roman;sans-serif"/>
          <w:b w:val="false"/>
          <w:color w:val="000000"/>
          <w:sz w:val="22"/>
        </w:rPr>
        <w:t>.</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The Borrower will not permit any Subsidiary to create, incur, assume or permit to exist any Funded Indebtedness other than: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Indebtedness of any Subsidiary to the Borrower or any other Subsidiary;</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(ii)    Guarantees by any Subsidiary of Indebtedness of any other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Indebtedness so Guaranteed is otherwise permitted by this Section 6.01;</w:t>
      </w:r>
    </w:p>
    <w:p>
      <w:pPr>
        <w:pStyle w:val="TextBody"/>
        <w:bidi w:val="0"/>
        <w:spacing w:before="0" w:after="240"/>
        <w:jc w:val="righ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(iii)    other Indebtedness of the Subsidiaries in an aggregate principal amount not exceeding the greater of (x) $600,000,000 at any time outstanding and (y) 30% of Consolidated EBITDA for the four consecutive fiscal quarter period of the Borrower most-recently ended on or prior to the most recent date any Indebtedness is incurred in reliance on this clause (iii) for which financial statements have been or were required to be delivered pursuant to paragraph (a) or (b) of Section 5.01;</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(iv)    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    Indebtedness of any Subsidiary in respect of performance bonds, bid bonds, appeal bonds, surety bonds, performance and completion guarantees and similar obligations (other than in respect of other Indebtedness for borrowed money), in each case provided in the ordinary course of business;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(vi)    Indebtedness of a Subsidiary in respect of non-speculative Swap Agreements relating to the business or operations of such Subsidiary;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(vii)    Indebtedness arising from the honoring by a bank or financial institution of a check or similar instrument drawn against insufficient funds in the ordinary course of business, so long as such Indebtedness is repaid within ten Business Days;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(viii)    Indebtedness in respect of letters of credit, guarantees, counter-indemnities and short term facilities incurred by any Subsidiary engaged in Clearing Operations in connection with the ordinary clearing, depository and settlement procedures (including, without limitation, any letter of credit or guarantees provided to any central securities depositories or external custodians) relating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advances thereunder are repaid within 10 days following the date of such advance or any drawing under any letter of credit or guarantee;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(ix)    any Indebtedness of any Clearing House incurred in connection with arrangements related to any Clearing Operations where such Indebtedness arises under the rules, normal procedures, agreements or legislation governing the Clearing Operations or such Clearing House;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loans, advances or other outstanding Indebtedness thereunder are repaid within 10 days following the date on which such loan or advance was made or any other such Indebtedness was incurred;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(x)    any Indebtedness arising as a result of short-term sale and repurchase transactions entered into by a Subsidiary on market terms and in respect of marketable securities held for investment purposes where the applicable Subsidiary enters into back to back, foreign exchange, swap or derivative transaction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of such Indebtedness doesn’t exceed the principal amount of the securities sold;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(xi)    Indebtedness incurred in connection with the administration of the UK ESOP Program in the ordinary course of business and not outstanding longer than seven days;</w:t>
      </w:r>
    </w:p>
    <w:p>
      <w:pPr>
        <w:pStyle w:val="TextBody"/>
        <w:bidi w:val="0"/>
        <w:spacing w:before="0" w:after="240"/>
        <w:jc w:val="righ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(xii)    Indebtedness of Regulated Subsidiaries or any direct or indirect parent of any such Regulated Subsidiary incurred to satisfy such Regulated Subsidiary’s determination of any requirement imposed at any time or from time to time by any Governmental Authority in an aggregate principal amount not to exceed $325,000,000 at any time outstanding;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Indebtedness is not outstanding for longer than 30 days;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(xiii)    Indebtedness consisting of the financing of insurance premiums in the ordinary course of business;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(xiv)    Indebtedness of any Subsidiary consisting of purchase money Indebtedness and Capital Lease Obligations not to exceed $70,000,000 outstanding at any time;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(xv)    Indebtedness arising from agreements of any Subsidiary providing for indemnification, adjustment of purchase or acquisition price or similar obligations, in each case, incurred or assumed in connection with any Acquisition or the disposition of any business, assets or a Subsidiary not prohibited by this Agreement;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(xvi)    Indebtedness supported by a Letter of Credit, in a principal amount not in excess of the stated amount of such Letter of Credit;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(xvii)    (A) Indebtedness of any Person that is merged or consolidated with and into any Subsidiary or of any Person that otherwise becomes a Subsidiary after the Closing Date; provided that (x) such Indebtedness exists at the time such Person becomes a Subsidiary and is not created in contemplation of or in connection with such Person becoming a Subsidiary and (y) immediately after giving effect to the consummation of such merger or consolidation or such Person otherwise becoming a Subsidiary, the Borrower would be in compliance on a Pro Forma Basis with the covenant set forth in Section 6.06 as of the most recent test date for which financial statements have been delivered pursuant to paragraph (a) or (b) of Section 5.01, and (B) extensions, renewals, replacements and refinancings of any Indebtedness outstanding pursuant to this Section 6.01(xvii);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Indebtedness outstanding pursuant to this subclause (B) shall not exceed the greater of (i) an aggregate principal amount of $200,000,000 at any time outstanding and (ii) 10% of Consolidated EBITDA for the four consecutive fiscal quarter period of the Borrower most-recently ended on or prior to the most recent date any Indebtedness is incurred in reliance on this subclause (B) for which financial statements have been or were required to be delivered pursuant to paragraph (a) or (b) of Section 5.01; and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(xviii)    Indebtedness arising from repurchase agreements, reverse repurchase agreements, sell buy back and buy sell back agreements, securities lending and borrowing agreements and any other similar agreement or transaction (including Swap Agreements) entered into by the Borrower or such Subsidiary in the ordinary course of its clearing, depository and settlement operations, or matters reasonably related or incidental thereto, or in the management of its liabilities;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of such Indebtedness outstanding at any time does not exceed the market value of the securities or other assets sold, loaned or borrowed or otherwise subject to such applicable agreement or transaction at such time.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6.02    </w:t>
      </w:r>
      <w:r>
        <w:rPr>
          <w:rFonts w:ascii="Times New Roman;sans-serif" w:hAnsi="Times New Roman;sans-serif"/>
          <w:b w:val="false"/>
          <w:color w:val="000000"/>
          <w:sz w:val="22"/>
          <w:u w:val="single"/>
        </w:rPr>
        <w:t>Liens</w:t>
      </w:r>
      <w:r>
        <w:rPr>
          <w:rFonts w:ascii="Times New Roman;sans-serif" w:hAnsi="Times New Roman;sans-serif"/>
          <w:b w:val="false"/>
          <w:color w:val="000000"/>
          <w:sz w:val="22"/>
        </w:rPr>
        <w:t>. The Borrower will not, nor will it permit any Subsidiary to, create, incur, assume or permit to exist any Lien on any property or asset now owned or hereafter acquired by it to secure any Indebtedness of the Borrower or any Subsidiary, except:</w:t>
      </w:r>
    </w:p>
    <w:p>
      <w:pPr>
        <w:pStyle w:val="TextBody"/>
        <w:bidi w:val="0"/>
        <w:spacing w:before="0" w:after="240"/>
        <w:jc w:val="righ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Permitted Encumbrances;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any Lien on any property or asset of the Borrower or any Subsidiary existing on the Closing Date and set forth in Schedule 6.02; provided that (A) such Lien shall not apply to any other property or asset of the Borrower or any Subsidiary and (B) such Lien shall secure only those obligations that it secures on the date hereof and refinancings, extensions, renewals and replacements thereof so long as the principal amount of such refinancings, extensions, renewals and replacements does not exceed the principal amount of the obligations being refinanced, extended, renewed or replaced (plus any accrued but unpaid interest and premium or penalty payable by the terms of such obligations thereon and reasonable fees and expenses associated therewith);</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any Lien existing on any property or asset prior to the acquisition thereof by the Borrower or any Subsidiary or existing on any property or asset of any Person that becomes a Subsidiary after the date hereof prior to the time such Person becomes a Subsidiary; provided that (A) such Lien is not created in contemplation of or in connection with such acquisition or such Person becoming a Subsidiary, as the case may be, (B) such Lien shall not apply to any other property or asset of the Borrower or any Subsidiary other than proceeds of such property or asset and (C) such Lien shall secure only those obligations that it secures on the date of such acquisition or the date such Person becomes a Subsidiary, as the case may be, and refinancings, extensions, renewals and replacements thereof so long as the principal amount of such refinancings, extensions, renewals and replacements does not exceed the principal amount of the obligations being refinanced, extended, renewed or replaced (plus any accrued but unpaid interest and premium or penalty payable by the terms of such obligations thereon and reasonable fees and expenses associated therewith);</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Liens on fixed or capital assets acquired, constructed or improved (including any such assets made the subject of a Capital Lease Obligation incurred) by the Borrower or any Subsidiary; provided that (A) the Indebtedness secured thereby does not exceed the cost of acquiring, constructing or improving such fixed or capital asset and (B) such Liens shall not apply to any other property or assets of the Borrower or any Subsidiary other than proceeds of such property or assets;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Liens of a collecting bank arising in the ordinary course of business under Section 4-208 of the Uniform Commercial Code in effect in the relevant jurisdiction covering only the items being collected upon;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Liens representing any interest or title of a licensor, lessor or sublicensor or sublessor under any lease or license permitted by this Agreement;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    Liens not otherwise permitted by this Section 6.02 to the extent that the aggregate outstanding principal amount of the obligations secured thereby does not exceed the greater of (i) $300,000,000 at any time outstanding and (ii) 15% of Consolidated EBITDA for the four consecutive fiscal quarter period of the Borrower most-recently ended on or prior to the most recent date any Lien is created or incurred in reliance on this clause (g) for which financial statements have been or were required to be delivered pursuant to paragraph (a) or (b) of Section 5.01;</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(h)    Liens granted by a Subsidiary in favor of the Borrower or another Subsidiary in respect of Indebtedness or other obligations owed by such Subsidiary to the Borrower or such other Subsidiary;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Liens on insurance policies and the proceeds thereof securing Indebtedness consisting of the financing of insurance premiums in the ordinary course of business;</w:t>
      </w:r>
    </w:p>
    <w:p>
      <w:pPr>
        <w:pStyle w:val="TextBody"/>
        <w:bidi w:val="0"/>
        <w:spacing w:before="0" w:after="240"/>
        <w:jc w:val="righ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(j)    Liens granted by a Subsidiary to secure obligations that do not constitute Indebtedness and are incurred in connection with the exchange and clearing operations of such Subsidiary in the ordinary course of business;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(k)    Liens solely on earnest money deposits made by the Borrower or any Subsidiary in connection with any letter of intent or purchase agreement in respect of any Acquisition or other Investment;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    Liens securing obligations in respect of non-speculative Swap Agreements relating to the business or operations of the Borrower or its Subsidiaries;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    Liens arising in connection with the operations of the Borrower or any Subsidiary relating to clearing, depository, matched principal, regulated exchange or settlement activities or the management of liabilities, in each case, in the ordinary course of business, including, without limitation, (i) Liens on securities sold by the Borrower or any of the Borrower’s Subsidiaries in repurchase agreements, reverse repurchase agreements, sell buy back and buy sell back agreements, securities lending and borrowing agreements and any other similar agreement or transaction and (ii) Liens on cash, Cash Equivalents and Permitted Investments to secure permitted Indebtedness incurred in connection with such activities;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    Liens arising from the sale of accounts receivable for which fair equivalent value is received;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    Liens securing obligations of the Borrower or any Subsidiary of the Borrower in respect of any swap agreements or other hedging arrangements entered into (i) in the ordinary course of business and for non-speculative purposes or (ii) solely in order to serve clearing, depository, regulated exchange or settlement activities in respect thereof;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    Liens created in connection with any share repurchase program in favor of any broker, dealer, custodian, trustee or agent administering or effecting transactions pursuant to a share repurchase program.</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For the purposes of this Section 6.02, the amount of any Lien shall be calculated to be the lower of (i) the amount of Indebtedness (which shall be calculated as the lesser of the stated principal amount thereof and the maximum principal amount thereof stated to be secured by such Lien) or other obligations secured by such Lien and (ii) the fair market value of the assets subject to such Lien at the time such Lien is granted.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6.03    </w:t>
      </w:r>
      <w:r>
        <w:rPr>
          <w:rFonts w:ascii="Times New Roman;sans-serif" w:hAnsi="Times New Roman;sans-serif"/>
          <w:b w:val="false"/>
          <w:color w:val="000000"/>
          <w:sz w:val="22"/>
          <w:u w:val="single"/>
        </w:rPr>
        <w:t>Fundamental Changes</w:t>
      </w:r>
      <w:r>
        <w:rPr>
          <w:rFonts w:ascii="Times New Roman;sans-serif" w:hAnsi="Times New Roman;sans-serif"/>
          <w:b w:val="false"/>
          <w:color w:val="000000"/>
          <w:sz w:val="22"/>
        </w:rPr>
        <w:t>. The Borrower will not merge into or consolidate with any other Person, or permit any other Person to merge into or consolidate with it, except that so long as, at the time thereof and immediately after giving effect thereto, no Event of Default shall have occurred and be continuing or would result therefrom, any Person may merge into or consolidate with the Borrower in a transaction in which the Borrower is the surviving entity.</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6.04    </w:t>
      </w:r>
      <w:r>
        <w:rPr>
          <w:rFonts w:ascii="Times New Roman;sans-serif" w:hAnsi="Times New Roman;sans-serif"/>
          <w:b w:val="false"/>
          <w:color w:val="000000"/>
          <w:sz w:val="22"/>
          <w:u w:val="single"/>
        </w:rPr>
        <w:t>Use of Proceeds and Letters of Credit</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The proceeds of the Revolving Loans on the Closing Date may be used, directly or indirectly, to consummate the Refinancing and to pay Transaction Costs and for general corporate purposes (including Acquisitions, repayments of Indebtedness and share repurchases). The proceeds of the Revolving Loans drawn after the Closing Date will be used only for general corporate purposes </w:t>
      </w:r>
    </w:p>
    <w:p>
      <w:pPr>
        <w:pStyle w:val="TextBody"/>
        <w:bidi w:val="0"/>
        <w:spacing w:before="0" w:after="240"/>
        <w:jc w:val="righ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(including other Acquisitions, repayments of Indebtedness and share repurchases, and to pay Transaction Costs). No part of the proceeds of any Loan will be used, whether directly or indirectly, (i) for any purpose that entails a violation of any of the Regulations of the Board, including Regulations T, U and X. Letters of Credit will be used only for general corporate purposes.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Borrower shall not directly or, to its knowledge, indirectly use the proceeds of any Borrowing or LC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Issuing Bank, or otherwise) of Sanctions.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The Borrower shall not directly or, to its knowledge, indirectly use the proceeds of any Borrowing or LC Credit Extension for any purpose which would breach the United States Foreign Corrupt Practices Act of 1977 or the UK Bribery Act 2010, or breach other similar applicable legislation in other jurisdictions.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6.05    </w:t>
      </w:r>
      <w:r>
        <w:rPr>
          <w:rFonts w:ascii="Times New Roman;sans-serif" w:hAnsi="Times New Roman;sans-serif"/>
          <w:b w:val="false"/>
          <w:color w:val="000000"/>
          <w:sz w:val="22"/>
          <w:u w:val="single"/>
        </w:rPr>
        <w:t>Asset Sales</w:t>
      </w:r>
      <w:r>
        <w:rPr>
          <w:rFonts w:ascii="Times New Roman;sans-serif" w:hAnsi="Times New Roman;sans-serif"/>
          <w:b w:val="false"/>
          <w:color w:val="000000"/>
          <w:sz w:val="22"/>
        </w:rPr>
        <w:t>. The Borrower will not, nor will it permit any Subsidiary to, sell, transfer, lease or otherwise dispose of all or substantially all of the assets of the Borrower and its Subsidiaries taken as a whole (the foregoing an “</w:t>
      </w:r>
      <w:r>
        <w:rPr>
          <w:rFonts w:ascii="Times New Roman;sans-serif" w:hAnsi="Times New Roman;sans-serif"/>
          <w:b w:val="false"/>
          <w:color w:val="000000"/>
          <w:sz w:val="22"/>
          <w:u w:val="single"/>
        </w:rPr>
        <w:t>Asset Sale</w:t>
      </w:r>
      <w:r>
        <w:rPr>
          <w:color w:val="000000"/>
        </w:rPr>
        <w:t>”</w:t>
      </w:r>
      <w:r>
        <w:rPr>
          <w:rFonts w:ascii="Times New Roman;sans-serif" w:hAnsi="Times New Roman;sans-serif"/>
          <w:b w:val="false"/>
          <w:color w:val="000000"/>
          <w:sz w:val="22"/>
        </w:rPr>
        <w:t>), other than an Asset Sale to the Borrower or any of its Subsidiaries.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6.06    </w:t>
      </w:r>
      <w:r>
        <w:rPr>
          <w:rFonts w:ascii="Times New Roman;sans-serif" w:hAnsi="Times New Roman;sans-serif"/>
          <w:b w:val="false"/>
          <w:color w:val="000000"/>
          <w:sz w:val="22"/>
          <w:u w:val="single"/>
        </w:rPr>
        <w:t>Leverage Ratio</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(a)    Prior to the Specified Acquisition Closing, the Borrower will not permit the Leverage Ratio as of the last day of any period of four consecutive fiscal quarters of the Borrower (a) ending on or prior to March 31, 2023 to be greater than 4.00 to 1.00 and (b) ending after March 31, 2023 to be greater than 3.50 to 1.00;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 shall be permitted, (i) on one occasion during the term of this Agreement, to allow the Leverage Ratio required under Section 6.06(b) to be increased to 4.00 to 1.00 in connection with an Acquisition for the period beginning on the closing date of such Acquisition until (and including) the last day of the fourth full fiscal quarter of the Borrower following the closing date of such Acquisition and (ii) on one additional occasion during the term of this Agreement, to allow the Leverage Ratio required under Section 6.06(b) to be increased to (w) 4.50 to 1.00 in connection with an Acquisition for the period beginning on the closing date of such Acquisition until (and including) the last day of the second full fiscal quarter of the Borrower following the closing date of such Acquisition, (x) 4.25 to 1.00 for the period beginning on the first day of the third full fiscal quarter following the closing date of such Acquisition until (and including) the last day of the fourth full fiscal quarter of the Borrower following the closing date of such Acquisition, (y) 4.00 to 1.00 for the period beginning on the first day of the fifth full fiscal quarter following the closing date of such Acquisition until (and including) the last day of the sixth full fiscal quarter of the Borrower following the closing date of such Acquisition and (z) 3.75 to 1.00 for the period beginning on the first day of the seventh full fiscal quarter following the closing date of such Acquisition until (and including) the last day of the eighth full fiscal quarter of the Borrower following the closing date of such Acquisition (each such increase under clauses (i) and (ii), an “</w:t>
      </w:r>
      <w:r>
        <w:rPr>
          <w:rFonts w:ascii="Times New Roman;sans-serif" w:hAnsi="Times New Roman;sans-serif"/>
          <w:b w:val="false"/>
          <w:color w:val="000000"/>
          <w:sz w:val="22"/>
          <w:u w:val="single"/>
        </w:rPr>
        <w:t>Acquisition Holiday</w:t>
      </w:r>
      <w:r>
        <w:rPr>
          <w:color w:val="000000"/>
        </w:rPr>
        <w:t>”</w:t>
      </w:r>
      <w:r>
        <w:rPr>
          <w:rFonts w:ascii="Times New Roman;sans-serif" w:hAnsi="Times New Roman;sans-serif"/>
          <w:b w:val="false"/>
          <w:color w:val="000000"/>
          <w:sz w:val="22"/>
        </w:rPr>
        <w:t xml:space="preserve">), so long as (A) on the last day of the fiscal quarter immediately preceding the consummation of (or, at the Borrower’s option, signing of the definitive agreement relating to) such Acquisition, the Leverage Ratio did not exceed 3.50 to 1.00 and (B) the Borrower is in compliance on a Pro Forma Basis with a maximum Leverage Ratio of (x) 4.00 to 1.00 on the closing date of such Acquisition immediately after giving effect to such Acquisition in case of clause (i) above and (y) 4.50 to </w:t>
      </w:r>
    </w:p>
    <w:p>
      <w:pPr>
        <w:pStyle w:val="TextBody"/>
        <w:bidi w:val="0"/>
        <w:spacing w:before="0" w:after="24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1.00 on the closing date of such Acquisition immediately after giving effect to such Acquisition in case of clause (ii) above;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 the Borrower shall provide notice in writing to the Administrative Agent of such Acquisition Holiday and a transaction description of such Acquisition (regarding the name of the Person or assets being acquired, the purchase price, the Leverage Ratio on a Pro Forma Basis and the acquired revenue (for the trailing four quarter period) and Consolidated EBITDA of such acquired Person or assets) and (ii) at the end of any Acquisition Holiday, the maximum Leverage Ratio permitted under this Section 6.06 (if then applicable) shall revert to 3.50 to 1.00.</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(b)    From and after the Specified Acquisition Closing, the Borrower will not permit the Leverage Ratio as of the last day of any period of four consecutive fiscal quarters of the Borrower (a) ending on or prior to last day of the fourth full fiscal quarter following the Specified Acquisition Closing, to be greater than 4.75 to 1.00, (b) ending on or after the first day of the fifth full fiscal quarter following the Specified Acquisition Closing and on or prior to the last day of the sixth full fiscal quarter following the Specified Acquisition Closing, to be greater than 4.25 to 1.00, (c) ending on or after the first day of the seventh full fiscal quarter following the Specified Acquisition Closing and on or prior to the last day of the eighth full fiscal quarter following the Specified Acquisition Closing, to be greater than 4.00 to 1.00, (d) ending on or after the first day of the ninth full fiscal quarter following the Specified Acquisition Closing and on or prior to the last day of the tenth full fiscal quarter following the Specified Acquisition Closing, to be greater than 3.75 to 1.00 and (e) thereafter, to be greater than 3.50 to 1.00;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be permitted on one occasion following the consummation of the Specified Acquisition and during the term of this Agreement, to allow the Leverage Ratio required under this second paragraph of </w:t>
      </w:r>
      <w:r>
        <w:rPr>
          <w:rFonts w:ascii="Times New Roman;sans-serif" w:hAnsi="Times New Roman;sans-serif"/>
          <w:b w:val="false"/>
          <w:color w:val="000000"/>
          <w:sz w:val="22"/>
          <w:u w:val="single"/>
        </w:rPr>
        <w:t>Section 6.06</w:t>
      </w:r>
      <w:r>
        <w:rPr>
          <w:color w:val="000000"/>
        </w:rPr>
        <w:t xml:space="preserve"> </w:t>
      </w:r>
      <w:r>
        <w:rPr>
          <w:rFonts w:ascii="Times New Roman;sans-serif" w:hAnsi="Times New Roman;sans-serif"/>
          <w:b w:val="false"/>
          <w:color w:val="000000"/>
          <w:sz w:val="22"/>
        </w:rPr>
        <w:t>to be increased to (w) 4.50 to 1.00 in connection with an Acquisition for the period beginning on the closing date of such Acquisition until (and including) the last day of the second full fiscal quarter of the Borrower following the closing date of such Acquisition, (x) 4.25 to 1.00 for the period beginning on the first day of the third full fiscal quarter following the closing date of such Acquisition until (and including) the last day of the fourth full fiscal quarter of the Borrower following the closing date of such Acquisition, (y) 4.00 to 1.00 for the period beginning on the first day of the fifth full fiscal quarter following the closing date of such Acquisition until (and including) the last day of the sixth full fiscal quarter of the Borrower following the closing date of such Acquisition and (z) 3.75 to 1.00 for the period beginning on the first day of the seventh full fiscal quarter following the closing date of such Acquisition until (and including) the last day of the eighth full fiscal quarter of the Borrower following the closing date of such Acquisition (such increase, a “</w:t>
      </w:r>
      <w:r>
        <w:rPr>
          <w:rFonts w:ascii="Times New Roman;sans-serif" w:hAnsi="Times New Roman;sans-serif"/>
          <w:b w:val="false"/>
          <w:color w:val="000000"/>
          <w:sz w:val="22"/>
          <w:u w:val="single"/>
        </w:rPr>
        <w:t>Subsequent Acquisition Holiday</w:t>
      </w:r>
      <w:r>
        <w:rPr>
          <w:color w:val="000000"/>
        </w:rPr>
        <w:t>”</w:t>
      </w:r>
      <w:r>
        <w:rPr>
          <w:rFonts w:ascii="Times New Roman;sans-serif" w:hAnsi="Times New Roman;sans-serif"/>
          <w:b w:val="false"/>
          <w:color w:val="000000"/>
          <w:sz w:val="22"/>
        </w:rPr>
        <w:t xml:space="preserve">), so long as (A) on the last day of the fiscal quarter immediately preceding the consummation of (or, at the Borrower’s option, signing of the definitive agreement relating to) such Acquisition, the Leverage Ratio did not exceed 3.50 to 1.00 and (B) the Borrower is in compliance on a Pro Forma Basis with a maximum Leverage Ratio of 4.50 to 1.00 on the closing date of such Acquisition immediately after giving effect to such Acquisition;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 the Borrower shall provide notice in writing to the Administrative Agent of such Subsequent Acquisition Holiday and a transaction description of such Acquisition (regarding the name of the Person or assets being acquired, the purchase price, the Leverage Ratio on a Pro Forma Basis and the acquired revenue (for the trailing four quarter period) and Consolidated EBITDA of such acquired Person or assets) and (ii) at the end of any Subsequent Acquisition Holiday, the maximum Leverage Ratio permitted under this second paragraph of </w:t>
      </w:r>
      <w:r>
        <w:rPr>
          <w:rFonts w:ascii="Times New Roman;sans-serif" w:hAnsi="Times New Roman;sans-serif"/>
          <w:b w:val="false"/>
          <w:color w:val="000000"/>
          <w:sz w:val="22"/>
          <w:u w:val="single"/>
        </w:rPr>
        <w:t>Section 6.06</w:t>
      </w:r>
      <w:r>
        <w:rPr>
          <w:color w:val="000000"/>
        </w:rPr>
        <w:t xml:space="preserve"> </w:t>
      </w:r>
      <w:r>
        <w:rPr>
          <w:rFonts w:ascii="Times New Roman;sans-serif" w:hAnsi="Times New Roman;sans-serif"/>
          <w:b w:val="false"/>
          <w:color w:val="000000"/>
          <w:sz w:val="22"/>
        </w:rPr>
        <w:t xml:space="preserve">(if then applicable) shall revert to 3.50 to 1.00. For the avoidance of doubt, following consummation of the Specified Acquisition, this paragraph shall supersede the immediately preceding paragraph in this </w:t>
      </w:r>
      <w:r>
        <w:rPr>
          <w:rFonts w:ascii="Times New Roman;sans-serif" w:hAnsi="Times New Roman;sans-serif"/>
          <w:b w:val="false"/>
          <w:color w:val="000000"/>
          <w:sz w:val="22"/>
          <w:u w:val="single"/>
        </w:rPr>
        <w:t>Section 6.06</w:t>
      </w:r>
      <w:r>
        <w:rPr>
          <w:rFonts w:ascii="Times New Roman;sans-serif" w:hAnsi="Times New Roman;sans-serif"/>
          <w:b w:val="false"/>
          <w:color w:val="000000"/>
          <w:sz w:val="22"/>
        </w:rPr>
        <w:t>.</w:t>
      </w:r>
    </w:p>
    <w:p>
      <w:pPr>
        <w:pStyle w:val="TextBody"/>
        <w:bidi w:val="0"/>
        <w:spacing w:before="0" w:after="240"/>
        <w:jc w:val="righ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VII</w:t>
        <w:br/>
        <w:br/>
        <w:t>EVENTS OF DEFAULT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If any of the following events (any such event, an “</w:t>
      </w:r>
      <w:r>
        <w:rPr>
          <w:rFonts w:ascii="Times New Roman;sans-serif" w:hAnsi="Times New Roman;sans-serif"/>
          <w:b w:val="false"/>
          <w:color w:val="000000"/>
          <w:sz w:val="22"/>
          <w:u w:val="single"/>
        </w:rPr>
        <w:t>Event of Default</w:t>
      </w:r>
      <w:r>
        <w:rPr>
          <w:color w:val="000000"/>
        </w:rPr>
        <w:t>”</w:t>
      </w:r>
      <w:r>
        <w:rPr>
          <w:rFonts w:ascii="Times New Roman;sans-serif" w:hAnsi="Times New Roman;sans-serif"/>
          <w:b w:val="false"/>
          <w:color w:val="000000"/>
          <w:sz w:val="22"/>
        </w:rPr>
        <w:t>) shall occur: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Borrower shall fail to pay any principal of any Loan or any reimbursement obligation in respect of any LC Disbursement when and as the same shall become due and payable, whether at the due date thereof or at a date fixed for prepayment thereof or otherwise;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Borrower shall fail to pay any interest on any Loan or any fee or any other amount (other than an amount referred to in paragraph (a) of this Article VII) payable under any Loan Document, when and as the same shall become due and payable, and such failure shall continue unremedied for a period of five Business Days;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any representation or warranty made or deemed made by or on behalf of the Borrower in or in connection with any Loan Document or any amendment or modification thereof or waiver thereunder, or in any report, certificate, financial statement or other document furnished pursuant to Article II, Article IV, Section 5.01 or Section 5.02 or any amendment or modification thereof or waiver thereunder, shall, if qualified by materiality, prove to have been incorrect or, if not so qualified, prove to have been incorrect in any material respect, in each case when made or deemed made;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the Borrower shall fail to observe or perform any covenant, condition or agreement contained in Section 5.02(a), Section 5.03(a) (solely with respect to the legal existence of the Borrower) or in Article VI;</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the Borrower shall fail to observe or perform any covenant, condition or agreement contained in any Loan Document (other than those specified in paragraph (a), (b) or (d) of this Article VII), and such failure shall continue unremedied for a period of 30 days after notice thereof from any Lender or the Administrative Agent to the Borrower;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the Borrower or any Material Subsidiary shall fail to make any payment (whether of principal or interest and regardless of amount) in respect of any Material Indebtedness, when and as the same shall become due and payable (subject to the expiration of any applicable grace period);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(g)    any event or condition occurs that (i) results in any Material Indebtedness becoming or being declared due prior to its scheduled maturity, and, in the case of this clause (i), such declaration is not rescinded, or (ii) enables or permits the holder or holders of any Material Indebtedness or any trustee or agent on its or their behalf to cause any Material Indebtedness to become due prior to its scheduled maturity, and, in the case of this clause (ii), such event or condition shall not have been remedied or waived by or on behalf of the holder or holders of such Material Indebtedness; provided that this clause (g) shall not apply to: (1) secured Indebtedness that becomes due as a result of the voluntary sale, transfer or other disposition (including as a result of casualty, condemnation or similar event) of the property or assets securing such Indebtedness, (2) any change of control offer made within 60 days after an Acquisition with respect to, and effectuated pursuant to, Indebtedness of an acquired business, (3) any default under Indebtedness of an acquired business if such default is cured, or such Indebtedness is repaid, repurchased, prepaid, redeemed or defeased either (i) substantially concurrently with such acquisition or as required by the terms thereof as a result of the acquisition of such business or (ii) within 60 days after the Acquisition of such business so long as the holders thereof do not validly declare such Indebtedness to </w:t>
      </w:r>
    </w:p>
    <w:p>
      <w:pPr>
        <w:pStyle w:val="TextBody"/>
        <w:bidi w:val="0"/>
        <w:spacing w:before="0" w:after="240"/>
        <w:jc w:val="righ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be due prior to its stated maturity, (4) mandatory prepayment requirements arising from the receipt of net cash proceeds from debt, dispositions (including casualty losses, governmental takings and other involuntary dispositions), equity issuances or excess cash flow, (5) prepayments required by the terms of Indebtedness as a result of customary provisions in respect of illegality, replacement of lenders and gross-up provisions for Taxes, increased costs, capital adequacy and other similar customary requirements, (6) any voluntary prepayment, redemption or other satisfaction of Indebtedness that becomes mandatory in accordance with the terms of such Indebtedness solely as the result of the Borrower or any Material Subsidiary delivering a prepayment, redemption or similar notice with respect to such prepayment, redemption or other satisfaction and (7) termination events or similar events occurring under any Swap Agreement (it being understood that clause (i) above will apply to any failure to make any payment required as a result of any such termination or similar event);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(h)    an involuntary proceeding shall be commenced or an involuntary petition shall be filed seeking (i) liquidation, reorganization or other relief in respect of the Borrower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Subsidiary or for a substantial part of its assets, and, in any such case, such proceeding or petition shall continue undismissed or undischarged for 60 days or an order or decree approving or ordering any of the foregoing shall be entered;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the Borrower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Article VII, (iii) apply for or consent to the appointment of a receiver, trustee, custodian, sequestrator, conservator or similar official for the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(j)    the Borrower or any Material Subsidiary shall become unable, admit in writing its inability or fail generally to pay its debts as they become due;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(k)    one or more judgments for the payment of money in an aggregate amount in excess of $150,000,000 (to the extent not paid, fully bonded or covered by insurance) shall be rendered against the Borrower, any Material Subsidiary or any combination thereof and the same shall remain undischarged, undismissed or unvacated for a period of 60 consecutive days during which execution shall not be effectively stayed, or any action shall be legally taken by a judgment creditor to attach or levy upon any assets of the Borrower or any Material Subsidiary to enforce any such judgment and such action shall not have been stayed;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    an ERISA Event shall have occurred that would reasonably be expected to have a Material Adverse Effect;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    a Change in Control shall occur; or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    any Loan Document, at any time after its execution and delivery and for any reason other than as expressly permitted hereunder or thereunder or satisfaction in full of all the Obligations, ceases to </w:t>
      </w:r>
    </w:p>
    <w:p>
      <w:pPr>
        <w:pStyle w:val="TextBody"/>
        <w:bidi w:val="0"/>
        <w:spacing w:before="0" w:after="240"/>
        <w:jc w:val="righ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be in full force and effect in any material respect; or the Borrower contests in any manner the validity or enforceability of any Loan Document; or the Borrower denies that it has any or further liability or obligation under any Loan Document, or purports to revoke, terminate or rescind any Loan Document (other than pursuant to any termination in accordance with the terms hereof or thereof or satisfaction in full of the Obligations);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then, and in every such event (other than an event with respect to the Borrower described in paragraph (h) or (i) of this Article VII), and at any time thereafter during the continuance of such event, the Administrative Agent may, and at the request of the Required Lenders shall, by notice to the Borrower, take any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the Borrower to Cash Collateralize the LC Exposure; and in case of any Event of Default with respect to the Borrower described in paragraph (h) or (i) of this Article VII, the Commitments shall automatically terminate and the principal of the Loans then outstanding, together with accrued interest thereon and all fees and other obligations of the Borrower accrued hereunder, shall automatically become due and payable and the Borrower shall be required to Cash Collateralize the LC Exposure, without presentment, demand, protest or other notice of any kind, all of which are hereby waived by the Borrower. </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VIII</w:t>
        <w:br/>
        <w:br/>
        <w:t>REGARDING THE ADMINISTRATIVE AGENT AND SUSTAINABILITY COORDINATOR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Each of the Lenders and each Issuing Bank hereby irrevocably appoints Bank of America to act on its behalf as Administrative Agent and authorizes the Administrative Agent to take such actions on its behalf and to exercise such powers as are delegated to the Administrative Agent, by the terms of the Loan Documents, together with such actions and powers as are reasonably incidental thereto. The provisions of this Article VIII are solely for the benefit of the Administrative Agent, the Sustainability Coordinator, the Lenders and each Issuing Bank, and the Borrower shall not have rights as a third party beneficiary of any of such provisions.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bank serving as Administrative Agent hereunder or Sustainability Coordinator shall have the same rights and powers in its capacity as a Lender as any other Lender and may exercise the same as though it were not the Administrative Agent or the Sustainability Coordinator, and such bank and its Affiliates may accept deposits from, lend money to and generally engage in any kind of business with the Borrower or any Subsidiary or other Affiliate thereof as if it were not the Administrative Agent or Sustainability Coordinator hereunder.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Administrative Agent and the Sustainability Coordinator shall not have any duties or obligations except those expressly set forth in the Loan Documents. Without limiting the generality of the foregoing, (a) the Administrative Agent and the Sustainability Coordinator shall not be subject to any fiduciary or other implied duties, regardless of whether a Default has occurred and is continuing, (b) the Administrative Agent and the Sustainability Coordinator shall not have any duty to take any discretionary action or exercise any discretionary powers, except discretionary rights and powers expressly contemplated by the Loan Documents that the Administrative Agent or the Sustainability Coordinator, as </w:t>
      </w:r>
    </w:p>
    <w:p>
      <w:pPr>
        <w:pStyle w:val="TextBody"/>
        <w:bidi w:val="0"/>
        <w:spacing w:before="0" w:after="24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applicable, is required to exercise in writing as directed by the Required Lenders (or such other number or percentage of the Lenders as shall be necessary or believed by the Administrative Agent or the Sustainability Coordinator, as applicable, in good faith to be necessary under the circumstances as provided in Section 2.05 or Section 9.02);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Administrative Agent and the Sustainability Coordinator shall not be required to take any action that, in their opinion or the opinion of its counsel, may expose the Administrative Agent or the Sustainability Coordinator to liability or that is contrary to any Loan Document or applicable Requirements of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and the Sustainability Coordinator shall not have any duty to disclose, and shall not be liable for the failure to disclose, any information relating to the Borrower or any Subsidiary that is communicated to or obtained by the bank serving as the Administrative Agent, the Sustainability Coordinator or any of its Affiliates in any capacity. The Administrative Agent and the Sustainability Coordinator shall not be liable for any action taken or not taken by it with the consent or at the request of the Required Lenders (or such other number or percentage of the Lenders as shall be necessary under the circumstances as provided in Section 2.05 or Section 9.02) or in the absence of its own gross negligence or willful misconduct. The Administrative Agent and the Sustainability Coordinator shall not be deemed to have knowledge of any Default unless and until written notice thereof is given to the Administrative Agent or the Sustainability Coordinator, as applicable, by the Borrower or a Lender, and the Administrative Agent and the Sustainability Coordinator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 or the Sustainability Coordinator, as applicable.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and the Sustainability Coordinator, as applicable,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or otherwise authenticated by the proper Person. The Administrative Agent and the Sustainability Coordinator, as applicable, also may rely upon any statement made to it orally or by telephone and believed by it to be made by the proper Person, and shall not incur any liability for relying thereon. The Administrative Agent and the Sustainability Coordinator, as applicable,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Administrative Agent and the Sustainability Coordinator, as applicable, may perform any and all its duties and exercise its rights and powers by or through any one or more sub-agents appointed by the Administrative Agent or the Sustainability Coordinator, as applicable. The Administrative Agent and the Sustainability Coordinator, as applicable, and any such sub-agent may perform any and all its duties and exercise its rights and powers by or through their respective Related Parties. The exculpatory provisions of this Article VIII shall apply to any such sub-agent and to the Related Parties of the Administrative </w:t>
      </w:r>
    </w:p>
    <w:p>
      <w:pPr>
        <w:pStyle w:val="TextBody"/>
        <w:bidi w:val="0"/>
        <w:spacing w:before="0" w:after="240"/>
        <w:jc w:val="righ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Agent, the Sustainability Coordinator and any such sub-agent, and shall apply to their respective activities in connection with the syndication of the credit facilities provided for herein as well as activities as the Administrative Agent or the Sustainability Coordinator, as applicable.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The Administrative Agent may resign at any time upon notice to the Lenders, each Issuing Bank and the Borrower. Upon any such resignation, the Required Lenders shall have the right, in consultation with the Borrower and, unless an Event of Default has occurred and is continuing, with the consent of the Borrower (not to be unreasonably withheld or delayed) to appoint a successor that shall be a bank with an office in the United States or an Affiliate of any such bank. If no successor shall have been so appointed by the Required Lenders and shall have accepted such appointment within 30 days after such retiring Administrative Agent gives notice of its resignation, then such retiring Administrative Agent may, on behalf of the Lenders and each Issuing Bank, appoint a successor Administrative Agent that shall be a bank with an office in the United States or an Affiliate of any such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Administrative Agent shall notify the Borrower and the Lenders that no qualifying Person has accepted such appointment, then such resignation shall nonetheless become effective in accordance with such notice and (a) such retiring Administrative Agent shall be discharged from its duties and obligations hereunder and under the other Loan Documents and (b) all payments, communications and determinations provided to be made by, to or through the Administrative Agent shall instead be made by or to each Lender and Issuing Bank directly, until such time as the Required Lenders appoint a successor Administrative Agent as provided for above in this paragraph.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all its duties and obligations under the Loan Documents. The fees payable by the Borrower to a successor Administrative Agent shall be the same as those payable to its predecessor unless otherwise agreed between the Borrower and such successor. After such Administrative Agent’s resignation hereunder, the provisions of this Article VIII and Section 9.03 shall continue in effect for the benefit of such retiring Administrative Agent, its sub-agents and their respective Related Parties in respect of any actions taken or omitted to be taken by any of them while the retiring Administrative Agent was acting as the Administrative Agent.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Any resignation by Bank of America as Administrative Agent pursuant to this Article VIII shall also constitute its resignation as Issuing Bank. Upon the acceptance of a successor’s appointment as Administrative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Each Lender and each Issuing Bank acknowledges that it has, independently and without reliance upon the Administrative Agent, the Sustainability Coordinator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the Sustainability Coordinator or any other Lender or any of their Related Parties and based on such documents and information as it shall from time to time deem appropriate, continue to make its own decisions in taking or not taking action under or based upon this any Loan Document or any related agreement or any document furnished thereunder.</w:t>
      </w:r>
    </w:p>
    <w:p>
      <w:pPr>
        <w:pStyle w:val="TextBody"/>
        <w:bidi w:val="0"/>
        <w:spacing w:before="0" w:after="240"/>
        <w:jc w:val="righ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case of the pendency of any proceeding under any Federal, state or foreign bankruptcy, insolvency, receivership or similar law or any other judicial proceeding relative to the Borrower, the Administrative Agent (irrespective of whether the principal of any Loan or LC Exposure shall then be due and payable as herein expressed or by declaration or otherwise and irrespective of whether the Administrative Agent shall have made any demand on the Borrower) shall be entitled and empowered, by intervention in such proceeding or otherwise, to (a) file and prove a claim for the whole amount of the principal and interest owing and unpaid in respect of the Loans, LC Exposures and all other Obligations that are owing and unpaid and to file such other documents as may be necessary or advisable in order to have the claims of the Lenders and each Issuing Bank (including any claim for the reasonable compensation, expenses, disbursements and advances of the Lenders and each Issuing Bank and their respective agents and counsel and all other amounts due the Lenders and each Issuing Bank under Sections 2.05(e) and 2.13) allowed in such judicial proceeding, and (b)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and, if the Administrative Agent shall consent to the making of such payments directly to the Lenders and the applicable Issuing Bank, to pay to the Administrative Agent any amount due for the reasonable compensation, expenses, disbursements and advances of the Administrative Agent and its agents and counsel, and any other amounts due the Administrative Agent under Section 2.10.</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to authorize the Administrative Agent to vote in respect of the claim of any Lender or Issuing Bank or in any such proceeding.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 the extent required by any applicable law, the Administrative Agent may withhold from any payment to any Lender or Issuing Bank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or Issuing Bank for any reason (including, without limitation, because the appropriate form was not delivered or not properly executed, or because such Lender or Issuing Bank failed to notify the Administrative Agent of a change in circumstance that rendered the exemption from, or reduction of withholding tax ineffective), such Lender or Issuing Bank shall indemnify and hold harmless the Administrative Agent (to the extent that the Administrative Agent has not already been reimbursed by the Borrower pursuant to Section 2.13 or Section 2.15 and without limiting the obligation of the Borrower to do so) for all amounts paid, directly or indirectly, by the Administrative Agent as Taxes or otherwise, together with all expenses incurred, including legal expenses and any other reasonable expenses, whether or not such tax was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or Issuing Bank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or Issuing Bank and the repayment, satisfaction or discharge of any Loans and all other amounts payable hereunder.</w:t>
      </w:r>
    </w:p>
    <w:p>
      <w:pPr>
        <w:pStyle w:val="TextBody"/>
        <w:bidi w:val="0"/>
        <w:spacing w:before="0" w:after="24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herein to the contrary, none of the institutions identified as an Arranger, Joint Bookrunning Manager, Syndication Agent or Documentation Agent on the cover page hereof shall have any powers, duties or responsibilities under any Loan Document, except in its capacity, as applicable, as the Administrative Agent, the Sustainability Coordinator, a Lender or an Issuing Bank hereunder.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IX</w:t>
        <w:br/>
        <w:br/>
        <w:t>MISCELLANEOUS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9.01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solely with respect to any communications solely between or among the Administrative Agent and any Lender, sent by telecopy, as follows: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if to the Borrower, to it at 805 King Farm Blvd., Rockville, Maryland 20850, Attention of General Counsel;</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if to the Administrative Agent, to the Administrative Agent’s Office;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if to an Issuing Bank other than the Administrative Agent, to it at the address or telecopy number set forth separately in writing;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if to any other Lender, to it at its address (or telecopy number) set forth in its Administrative Questionnaire.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Any party hereto may change its address or, solely for purposes of any communications solely between or among the Administrative Agent and any Lender, telecopy number for notices and other communications hereunder by notice to the other parties hereto. Notices and other communications to the Lenders and Issuing Banks hereunder may also be delivered or furnished by electronic communication (including e-mail and Internet or intranet websites) pursuant to procedures approved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to any Lender or Issuing Bank pursuant to Article II if such Lender or Issuing Bank, as applicable, has notified the Administrative </w:t>
      </w:r>
    </w:p>
    <w:p>
      <w:pPr>
        <w:pStyle w:val="TextBody"/>
        <w:bidi w:val="0"/>
        <w:spacing w:before="0" w:after="240"/>
        <w:jc w:val="righ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Agent that it is incapable of receiving notices under such Article II by electronic communication. The Administrative Agent or the Borrower may, in its discretion, agree to accept notices and other communications to it hereunder by electronic communications pursuant to procedures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approval of such procedures may be limited to particular notices or communications. All notices and other communications given to any party hereto in accordance with the provisions of this Agreement shall be deemed to have been given on the date of receipt.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ans-serif" w:hAnsi="Times New Roman;sans-serif"/>
          <w:b w:val="false"/>
          <w:color w:val="000000"/>
          <w:sz w:val="22"/>
          <w:u w:val="single"/>
        </w:rPr>
        <w:t>Agent Parties</w:t>
      </w:r>
      <w:r>
        <w:rPr>
          <w:color w:val="000000"/>
        </w:rPr>
        <w:t>”</w:t>
      </w:r>
      <w:r>
        <w:rPr>
          <w:rFonts w:ascii="Times New Roman;sans-serif" w:hAnsi="Times New Roman;sans-serif"/>
          <w:b w:val="false"/>
          <w:color w:val="000000"/>
          <w:sz w:val="22"/>
        </w:rPr>
        <w:t xml:space="preserve">) have any liability to the Borrower, any Lender, any Issuing Bank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in no event shall any Agent Party have any liability to the Borrower, any Lender, any Issuing Bank or any other Person for indirect, special, incidental, consequential or punitive damages (as opposed to direct or actual damages).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9.02    </w:t>
      </w:r>
      <w:r>
        <w:rPr>
          <w:rFonts w:ascii="Times New Roman;sans-serif" w:hAnsi="Times New Roman;sans-serif"/>
          <w:b w:val="false"/>
          <w:color w:val="000000"/>
          <w:sz w:val="22"/>
          <w:u w:val="single"/>
        </w:rPr>
        <w:t>Waivers; Amendments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each Issuing Bank and the Lenders hereunder and under the other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or any Lender or Issuing Bank may have had notice or knowledge of such Default at the time. No notice or demand on the Borrower in any case shall entitle the Borrower to any other or further notice or demand in similar or other circumstances.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(b)    Except as provided in Section 2.18 with respect to any Incremental Facility Amendment,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 xml:space="preserve">in connection with the KPI Metrics and Section 2.12, neither any Loan Document nor any provision thereof may be waived, amended or modified except, in the case of this Agreement, pursuant to an agreement or agreements in writing entered into by the Borrower and the Required Lenders or, in the </w:t>
      </w:r>
    </w:p>
    <w:p>
      <w:pPr>
        <w:pStyle w:val="TextBody"/>
        <w:bidi w:val="0"/>
        <w:spacing w:before="0" w:after="240"/>
        <w:jc w:val="righ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case of any other Loan Document, pursuant to an agreement or agreements in writing entered into by the Administrative Agent and the Borrower, in each case with the consent of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any provision of this Agreement may be amended by an agreement in writing entered into by the Borrower and the Administrative Agent to cure any ambiguity, omission, defect, mistake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 (A) increase the Commitment of any Lender without the written consent of such Lender, (B) reduce the principal amount of any Loan, LC Disbursement or LC Advance or reduce the rate of interest thereon, or reduce any fees payable hereunder, without the written consent of each Lender affected thereby;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Applicable Rate for Benchmark Loans, Daily Simple SOFR Loans, ABR Loans and the Facility Fee may be amended in accordance with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 xml:space="preserve">as in effect on the Amendment No. 1 Effective Date, (C) postpone the maturity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affected thereby, (D) alter the manner in which payments or prepayments of principal, interest or other amounts hereunder shall be applied as among the Lenders or Types of Loans or change Section 2.16(b) or (c) in a manner that would alter the pro rata sharing of payments required thereby, in each case without the written consent of each Lender adversely affected thereby, (E) change any of the provisions of this Section 9.02 or the percentage set forth in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(it being understood that, other than pursuant to any Incremental Facility Amendment (the consent requirements for which are set forth in Section 2.18), with the consent of the Required Lenders, additional extensions of credit pursuant to this Agreement may be included in the determination of the Required Lenders on substantially the same basis as the Revolving Commitments on the date hereof), (F) change any provisions of any Loan Document in a manner that by its terms adversely affects the rights in respect of payments due to Lenders holding Loans of any Class differently than those holding Loans of any other Class, without the written consent of Lenders holding a majority in interest of the outstanding Loans and unused Commitments of each affected Class or (G) make any changes that impose any restriction on the ability of any Lender to assign any of its rights or obligations, without the written consent of each Lender affected thereby;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(1) no such agreement shall amend, modify or otherwise affect the rights or duties of the Administrative Agent, the Sustainability Coordinator, any Issuing Bank, any Arranger, any Joint Bookrunning Manager, any Syndication Agent or any Documentation Agent without the prior written consent of the Administrative Agent, the Sustainability Coordinator, such Issuing Bank, such Arranger, such Joint Bookrunning Manager, such Syndication Agent or such Documentation Agent, as the case may be, (2) without limiting clause (3) below,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 and the requisite percentage in interest of the affected Class of Lenders that would be required to consent thereto under this Section 9.02 if such Class of Lenders were the only Class of Lenders hereunder at the time, and (3) after the Closing Date, no amendment, waiver or consent shall amend, modify supplement or waive the conditions precedent set forth in Section 4.02 or any representation or warranty set forth in Article III without the written consent of the Required Lenders (it being understood that no other amendment, </w:t>
      </w:r>
    </w:p>
    <w:p>
      <w:pPr>
        <w:pStyle w:val="TextBody"/>
        <w:bidi w:val="0"/>
        <w:spacing w:before="0" w:after="240"/>
        <w:jc w:val="righ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waiver, consent or other modification of any term or provision of this Agreement, including any waiver of a covenant or a Default, shall be deemed to be an amendment, waiver, consent or other modification of Section 4.02 or any such representations or warranties for purposes of this clause (3)). Notwithstanding the foregoing, upon the election of the Borrower to switch from GAAP to IFRS this Agreement may be amended (or amended and restated) with only the written consent of the Administrative Agent and the Borrower (and not any other Lender or the Required Lenders) to eliminate any changes to the meaning of this Agreement as a result of such election.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    In connection with any proposed amendment, modification, waiver or termination (a “</w:t>
      </w:r>
      <w:r>
        <w:rPr>
          <w:rFonts w:ascii="Times New Roman;sans-serif" w:hAnsi="Times New Roman;sans-serif"/>
          <w:b w:val="false"/>
          <w:color w:val="000000"/>
          <w:sz w:val="22"/>
          <w:u w:val="single"/>
        </w:rPr>
        <w:t>Proposed Change</w:t>
      </w:r>
      <w:r>
        <w:rPr>
          <w:color w:val="000000"/>
        </w:rPr>
        <w:t>”</w:t>
      </w:r>
      <w:r>
        <w:rPr>
          <w:rFonts w:ascii="Times New Roman;sans-serif" w:hAnsi="Times New Roman;sans-serif"/>
          <w:b w:val="false"/>
          <w:color w:val="000000"/>
          <w:sz w:val="22"/>
        </w:rPr>
        <w:t>) requiring the consent of all Lenders or all affected Lenders, if the consent of the Required Lenders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Times New Roman;sans-serif" w:hAnsi="Times New Roman;sans-serif"/>
          <w:b w:val="false"/>
          <w:color w:val="000000"/>
          <w:sz w:val="22"/>
          <w:u w:val="single"/>
        </w:rPr>
        <w:t>Non-Consenting Lender</w:t>
      </w:r>
      <w:r>
        <w:rPr>
          <w:color w:val="000000"/>
        </w:rPr>
        <w:t>”</w:t>
      </w:r>
      <w:r>
        <w:rPr>
          <w:rFonts w:ascii="Times New Roman;sans-serif" w:hAnsi="Times New Roman;sans-serif"/>
          <w:b w:val="false"/>
          <w:color w:val="000000"/>
          <w:sz w:val="22"/>
        </w:rPr>
        <w:t xml:space="preserve">), then,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the Borrower shall have received the prior written consent of the Administrative Agent (and, if a Revolving Commitment is being assigned, the Issuing Banks), which consent shall not unreasonably be withheld, (b) such Non-Consenting Lender shall have received payment of an amount equal to the outstanding principal of its Loans and LC Advances, accrued interest thereon, accrued fees and all other amounts payable to it hereunder from the assignee (to the extent of such outstanding principal and accrued interest and fees) or the Borrower (in the case of all other amounts) and (c) the Borrower or such assignee shall have paid to the Administrative Agent the processing and recordation fee specified in Section 9.04(b).</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9.03    </w:t>
      </w:r>
      <w:r>
        <w:rPr>
          <w:rFonts w:ascii="Times New Roman;sans-serif" w:hAnsi="Times New Roman;sans-serif"/>
          <w:b w:val="false"/>
          <w:color w:val="000000"/>
          <w:sz w:val="22"/>
          <w:u w:val="single"/>
        </w:rPr>
        <w:t>Expenses; Indemnity; Damage Waiver</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The Borrower shall pay (i) all reasonable and documented out-of-pocket costs and expenses incurred by the Administrative Agent, the Arrangers, the Sustainability Coordinator and their respective Affiliates (in the case of legal fees, limited to the reasonable fees, charges and disbursements of a single counsel for the Administrative Agent, the Arrangers, the Sustainability Coordinator, and their respective Affiliates), in connection with the syndication of the credit facilities provided for herein (whether or not the transactions contemplated hereby or thereby shall be consummated), (ii) all reasonable and documented out-of-pocket costs and expenses incurred by the Administrative Agent, the Sustainability Coordinator and their Affiliates (in the case of legal fees, limited to the reasonable fees, charges and disbursements of a single counsel for the Administrative Agent, the Sustainability Coordinator and their Affiliates and, if reasonably necessary, of a single local counsel to the Administrative Agent, the Sustainability Coordinator and their Affiliates in each relevant material jurisdiction, which may be a single local counsel acting in multiple material jurisdictions), in connection </w:t>
      </w:r>
    </w:p>
    <w:p>
      <w:pPr>
        <w:pStyle w:val="TextBody"/>
        <w:bidi w:val="0"/>
        <w:spacing w:before="0" w:after="240"/>
        <w:jc w:val="righ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 the preparation and administration of the Loan Documents or any amendments, modifications or waivers of the provisions thereof, (iii) all reasonable and documented out-of-pocket costs and expenses incurred by an Issuing Bank in connection with the issuance, amendment, renewal or extension of any Letter of Credit or any demand for payment thereunder and (iv) all reasonable and documented out-of-pocket costs and expenses incurred by the Administrative Agent, the Issuing Banks, the Sustainability Coordinator or any Lender (in the case of legal fees, limited to the reasonable and documented fees, charges and disbursements of a single primary counsel for the Administrative Agent, the Sustainability Coordinator and the Issuing Banks and a single primary counsel for the Lenders, along with such specialist counsel as may reasonably be required by the Administrative Agent, the Issuing Banks, the Sustainability Coordinator or the Required Lenders, and of a single firm of local counsel in each material jurisdiction (and, in the event of a conflict of interest (as reasonably determined by the applicable Administrative Agent, Issuing Bank, the Sustainability Coordinator or Lender), one additional firm of counsel to each group of similarly affected parties)), in connection with the enforcement or protection of their respective rights in connection with the Loan Documents, including their respective rights under this Section 9.03, or in connection with the Loans made or Letters of Credit issued hereunder, including all such out-of-pocket expenses incurred during any workout, restructuring or negotiations in respect of such Loans or Letters of Credit. For the avoidance of doubt, this Section 9.03(a) shall not apply to any Indemnified Taxes or Other Taxes indemnified under Section 2.15 or any Excluded Taxes.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    The Borrower shall indemnify and hold harmless the Administrative Agent, the Issuing Banks and each Lender, each Arranger, the Sustainability Coordinator, each Joint Bookrunning Manager, each Syndication Agent, each Documentation Agent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xml:space="preserve">) against, and hold each Indemnitee harmless from, any and all losses, claims, damages, liabilities and reasonable and documented out-of-pocket expenses, including the reasonable fees, charges and disbursements of a single firm as primary counsel for the Indemnitees, along with such specialist counsel as may reasonably be required by the Indemnitees, and of a single firm of local counsel in each material jurisdiction (and, in the event of a conflict of interest (as reasonably determined by the applicable Indemnitee), one additional firm of counsel to each group of similarly affected Indemnitee), incurred by or asserted against any Indemnitee by any third party or by the Borrower or any Subsidiary arising out of, in connection with, or as a result of (i)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Banks to honor a demand for payment under a Letter of Credit if the documents presented in connection with such demand do not strictly comply with the terms of such Letter of Credit), (iii) any actual or alleged presence or Release of Hazardous Materials on, at, to or from any property currently or formerly owned or operated by the Borrower or any Subsidiary, or any other Environmental Liability related in any material respect to the Borrower or any Subsidiary, or (iv) any actual or prospective claim, litigation, investigation or proceeding relating to any of the foregoing, whether based on contract, tort or any other theory, whether brought by a third party or by the Borrower or any Subsidiary and regardless of whether any Indemnitee is a party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indemnity shall not, as to any Indemnitee, be available to the extent that such losses, claims, damages, liabilities or expenses (x) are determined by a court of competent jurisdiction by final judgment to have resulted from the gross negligence or willful misconduct of such Indemnitee or any of its Related Indemnified Persons (as defined below) or (y) arise from any dispute solely among Indemnitees other than any claims against any Arranger, the Sustainability Coordinator or the Administrative Agent in fulfilling its role as an agent or arranger or any similar role under the Facilities and other than any claims arising out of any act or omission on the part of the Borrower or any </w:t>
      </w:r>
    </w:p>
    <w:p>
      <w:pPr>
        <w:pStyle w:val="TextBody"/>
        <w:bidi w:val="0"/>
        <w:spacing w:before="0" w:after="240"/>
        <w:jc w:val="righ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of its Related Parties. For the avoidance of doubt, this Section 9.03(b) shall not apply to Taxes, other than any Taxes that represent losses, claims, damages or liabilities arising from any non-Tax claim. “</w:t>
      </w:r>
      <w:r>
        <w:rPr>
          <w:rFonts w:ascii="Times New Roman;sans-serif" w:hAnsi="Times New Roman;sans-serif"/>
          <w:b w:val="false"/>
          <w:color w:val="000000"/>
          <w:sz w:val="22"/>
          <w:u w:val="single"/>
        </w:rPr>
        <w:t>Related Indemnified Person</w:t>
      </w:r>
      <w:r>
        <w:rPr>
          <w:color w:val="000000"/>
        </w:rPr>
        <w:t xml:space="preserve">” </w:t>
      </w:r>
      <w:r>
        <w:rPr>
          <w:rFonts w:ascii="Times New Roman;sans-serif" w:hAnsi="Times New Roman;sans-serif"/>
          <w:b w:val="false"/>
          <w:color w:val="000000"/>
          <w:sz w:val="22"/>
        </w:rPr>
        <w:t>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on behalf of, or at the express instructions of, such Indemnitee, controlling person or such controlled affiliate.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(c)    To the extent that the Borrower fails to pay any amount required to be paid by it to the Administrative Agent or an Issuing Bank under paragraph (a) or (b) of this Section 9.03 but without affecting the Borrower’s obligations thereunder, each Lender severally agrees to pay to the Administrative Agent or the applicable Issuing Bank, as the case may be, such Lender’s pro rata share (determined as of the time that the applicable unreimbursed expense or indemnity payment is sought) of such unpaid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unreimbursed expense or indemnified loss, claim, damage, liability or related expense, as the case may be, was incurred by or asserted against the Administrative Agent or such Issuing Bank, as the case may be, in its capacity as such. For purposes hereof, a Lender’s “pro rata share” shall be determined based upon its share of the aggregate Revolving Exposures and unused Commitments at the time such indemnity or reimbursement is sought;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purposes of indemnifying an Issuing Bank hereunder a Lender’s “pro rata share” will be based on the proportionate amount of the aggregate Revolving Exposure. The obligations of the Lenders under this paragraph (c) are subject to the second sentence of Section 2.02 (which shall apply </w:t>
      </w:r>
      <w:r>
        <w:rPr>
          <w:rFonts w:ascii="Times New Roman;sans-serif" w:hAnsi="Times New Roman;sans-serif"/>
          <w:b w:val="false"/>
          <w:color w:val="000000"/>
          <w:sz w:val="22"/>
          <w:u w:val="single"/>
        </w:rPr>
        <w:t>mutatis</w:t>
      </w:r>
      <w:r>
        <w:rPr>
          <w:color w:val="000000"/>
        </w:rPr>
        <w:t xml:space="preserve"> </w:t>
      </w:r>
      <w:r>
        <w:rPr>
          <w:rFonts w:ascii="Times New Roman;sans-serif" w:hAnsi="Times New Roman;sans-serif"/>
          <w:b w:val="false"/>
          <w:color w:val="000000"/>
          <w:sz w:val="22"/>
          <w:u w:val="single"/>
        </w:rPr>
        <w:t>mutandis</w:t>
      </w:r>
      <w:r>
        <w:rPr>
          <w:color w:val="000000"/>
        </w:rPr>
        <w:t xml:space="preserve"> </w:t>
      </w:r>
      <w:r>
        <w:rPr>
          <w:rFonts w:ascii="Times New Roman;sans-serif" w:hAnsi="Times New Roman;sans-serif"/>
          <w:b w:val="false"/>
          <w:color w:val="000000"/>
          <w:sz w:val="22"/>
        </w:rPr>
        <w:t>to the Lenders’ obligations under this paragraph (c)).</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 The Borrower shall not, except as a result of its indemnification obligations set forth above, and nor shall any of its Related Parties have any responsibility or liability for special, indirect, consequential or punitive damages.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All amounts due under this Section 9.03 shall be payable not later than 30 days (or, if an Event of Default has occurred and is continuing, 10 Business Days) after written demand therefor or, if later, by the due date specified in any invoice relating thereto.</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9.04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provisions of this Agreement shall be binding upon and inure to the benefit of the parties hereto and their respective successors and assigns permitted hereby (including any Affiliate of an Issuing Bank that issues any Letter of Credit), except that the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9.04)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240"/>
        <w:jc w:val="righ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(b)    (i) Subject to the conditions set forth in paragraph (b)(ii) below, any Lender may assign to one or more assignees all or a portion of its rights and obligations under this Agreement (including all or a portion of its Revolving Commitment and the Revolving Loans at the time owing to it) with the prior written consent (such consent not to be unreasonably withheld or delayed) of (A)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consent of the Borrower shall be required for an assignment to a Lender, an Affiliate of a Lender, an Approved Fund (as defined below) or, if an Event of Default has occurred and is continuing, any other assignee;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Borrower shall be deemed to have consented to an assignment if the Borrower does not object within 10 Business Days of receipt of a request therefor, (B) the Administrative Agent, not to be unreasonably withheld or delayed, and (C) each Issuing Bank, not to be unreasonably withheld or delayed.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(ii)    Assignments shall be subject to the following additional conditions: (A) except in the case of an assignment to a Lender, an Affiliate of a Lender or an Approved Fund or an assignment of the entire remaining amount of the assigning Lender’s Revolving Commitment or Revolving Loans, the amount of the Revolving Commitment or Revolving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$5,000,000 unless the Borrower and the Administrative Agent otherwise consent ;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such consent of the Borrower shall be required if an Event of Default has occurred and is continuing, (B) each partial assignment shall be made as an assignment of a proportionate part of all the assigning Lender’s rights and obligations under this Agreement in its capacity as a Revolving Lender, (C) the parties to each assignment shall execute and deliver to the Administrative Agent an Assignment and Assumption, together with a processing and recordation fee in an amount of $3,500 (it being understood that the Administrative Agent may elect, in its sole discretion, to waive such processing and recordation fee for any assignment and only one such processing and recordation fee shall be payable in connection with simultaneous assignments to or by two or more Approved Funds);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assignments made pursuant to Section 2.17(b) or Section 9.02(b) shall not require the signature of the assigning Lender to become effective, and (D) the assignee, if it shall not be a Lender, shall deliver to the Administrative Agent an Administrative Questionnaire and any tax forms required by Section 2.15(e).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(iii)    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2.13, 2.14, 2.15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pStyle w:val="TextBody"/>
        <w:bidi w:val="0"/>
        <w:spacing w:before="0" w:after="240"/>
        <w:jc w:val="righ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(iv)    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LC Disbursements and interest thereon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The entries in the Register shall be conclusive,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    Promptly 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    (i) Any Lender may, without the consent of the Borrower, the Administrative Agent or any Issuing Bank, sell participations to one or more banks or other entities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in all or a portion of such Lender’s rights and obligations under this Agreement in its capacity as a Revolving Lender (including all or a portion of its Revolving Commitment and the Revolving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agreement or instrument may provide that such Lender will not, without the consent of the Participant, agree to any amendment, modification or waiver described in the first proviso to Section 9.02(b) that affects such Participant. Subject to paragraph (c)(ii) of this Section 9.04, the Borrower agrees that each Participant shall be entitled to the benefits of Sections 2.13, 2.14 and 2.15, subject to the requirements and limitations therein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shall be subject to Section 2.16(c) as though it were a Lender and shall provide documentation required under Section 2.15(e)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shall be subject </w:t>
      </w:r>
    </w:p>
    <w:p>
      <w:pPr>
        <w:pStyle w:val="TextBody"/>
        <w:bidi w:val="0"/>
        <w:spacing w:before="0" w:after="24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to Section 2.16(c)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of the United States Treasury Regulations.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(ii)    A Participant shall not be entitled to receive any greater payment under Section 2.13 or Section 2.15 than the applicable Lender would have been entitled to receive with respect to the participation sold to such Participant, except to the extent such entitlement to a greater payment results from any change in any Requirement of Law after</w:t>
      </w:r>
      <w:r>
        <w:rPr>
          <w:color w:val="0000FF"/>
        </w:rPr>
        <w:t xml:space="preserve"> </w:t>
      </w:r>
      <w:r>
        <w:rPr>
          <w:rFonts w:ascii="Times New Roman;sans-serif" w:hAnsi="Times New Roman;sans-serif"/>
          <w:b w:val="false"/>
          <w:color w:val="000000"/>
          <w:sz w:val="22"/>
        </w:rPr>
        <w:t>such Participant acquired the applicable participation.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(d)    Any Lender may at any time pledge or assign a security interest in all or any portion of its rights under this Agreement to secure obligations of such Lender, including any pledge or assignment to secure obligations to a Federal Reserve Bank, and this Section 9.04 shall not apply to any such pledge or assignment of a security interest;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(e)    Notwithstanding anything to the contrary contained herein, if at any time any Issuing Bank assigns all of its Revolving Commitments and Revolving Loans pursuant to Section 9.04(b), such Issuing Bank may, upon 30 days’ written notice to the Borrower and the Lenders, resign as Issuing Bank. In the event of any such resignation as Issuing Bank, the Borrower shall be entitled to appoint from among the Lenders a successor Issuing Bank 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 failure by the Borrower to appoint any such successor shall affect the resignation of the resigning Person as Issuing Bank. If any Issuing Bank resigns as Issuing Bank, it shall retain all the rights, powers, privileges and duties of an Issuing Bank hereunder with respect to all Letters of Credit outstanding as of the effective date of its resignation as Issuing Bank and all LC Exposures with respect thereto. Upon the appointment of a successor Issuing Bank, (a) such successor shall succeed to and become vested with all of the rights, powers, privileges and duties of the retiring Issuing Bank and (b) the successor Issuing Bank shall issue letters of credit in substitution for the Letters of Credit, if any, outstanding at the time of such succession or make other arrangements reasonably satisfactory to the retrieving Person to effectively assume the obligations of the resigning Person with respect to such Letters of Credit.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9.05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All covenants, agreements, representations and warranties made by the Borrower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Banks or any Lender may have had notice or knowledge of any Default or incorrect representation or warranty at the time any credit is extended hereunder, and shall continue in full force and effect as long as the principal of </w:t>
      </w:r>
    </w:p>
    <w:p>
      <w:pPr>
        <w:pStyle w:val="TextBody"/>
        <w:bidi w:val="0"/>
        <w:spacing w:before="0" w:after="240"/>
        <w:jc w:val="righ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or any accrued interest on any Loan or any fee or any other amount payable under this Agreement is outstanding and unpaid (other than contingent amounts not yet due) or any Letter of Credit is outstanding or has not been cash collateralized on terms reasonably acceptable to the Administrative Agent and the applicable Issuing Bank and so long as the Commitments have not expired or terminated. The provisions of Sections 2.13, 2.14, 2.15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9.06    </w:t>
      </w:r>
      <w:r>
        <w:rPr>
          <w:rFonts w:ascii="Times New Roman;sans-serif" w:hAnsi="Times New Roman;sans-serif"/>
          <w:b w:val="false"/>
          <w:color w:val="000000"/>
          <w:sz w:val="22"/>
          <w:u w:val="single"/>
        </w:rPr>
        <w:t>Counterparts; Integration; Effectiveness</w:t>
      </w:r>
      <w:r>
        <w:rPr>
          <w:rFonts w:ascii="Times New Roman;sans-serif" w:hAnsi="Times New Roman;sans-serif"/>
          <w:b w:val="false"/>
          <w:color w:val="000000"/>
          <w:sz w:val="22"/>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imaging means (e.g. “pdf” or “tif”) shall be effective as delivery of a manually executed counterpart of this Agreement.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9.07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9.08    </w:t>
      </w:r>
      <w:r>
        <w:rPr>
          <w:rFonts w:ascii="Times New Roman;sans-serif" w:hAnsi="Times New Roman;sans-serif"/>
          <w:b w:val="false"/>
          <w:color w:val="000000"/>
          <w:sz w:val="22"/>
          <w:u w:val="single"/>
        </w:rPr>
        <w:t>Right of Setoff</w:t>
      </w:r>
      <w:r>
        <w:rPr>
          <w:rFonts w:ascii="Times New Roman;sans-serif" w:hAnsi="Times New Roman;sans-serif"/>
          <w:b w:val="false"/>
          <w:color w:val="000000"/>
          <w:sz w:val="22"/>
        </w:rPr>
        <w:t xml:space="preserve">. If an Event of Default shall have occurred and be continuing, each Lender,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Issuing Bank or any such Affiliate to or for the credit or the account of the Borrower against any of and all the obligations of the Borrower now or hereafter existing under this Agreement held by such Lender or Issuing Bank, irrespective of whether or not such Lender or Issuing Bank shall have made any demand under this Agreement and although such obligations may be unmatured or are owed to a branch or office of such Lender or Issuing Bank different from the branch or office holding such deposit or obligated on such Indebtedness. The applicable Lender or Issuing Bank shall notify the Borrower and the Administrative Agent of such setoff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failure to give or any delay in giving such notice shall not affect the validity of any such setoff and application under this Section 9.08. The rights of each Lender, Issuing Bank and their respective Affiliates under this Section 9.08 are in addition to other rights and remedies (including other rights of setoff) that such Lender, Issuing Bank and their respective Affiliates may have.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9.09    </w:t>
      </w:r>
      <w:r>
        <w:rPr>
          <w:rFonts w:ascii="Times New Roman;sans-serif" w:hAnsi="Times New Roman;sans-serif"/>
          <w:b w:val="false"/>
          <w:color w:val="000000"/>
          <w:sz w:val="22"/>
          <w:u w:val="single"/>
        </w:rPr>
        <w:t>Governing Law; Jurisdiction; Consent to Service of Process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This Agreement shall be governed by, and construed in accordance with, the laws of the State of New York.</w:t>
      </w:r>
    </w:p>
    <w:p>
      <w:pPr>
        <w:pStyle w:val="TextBody"/>
        <w:bidi w:val="0"/>
        <w:spacing w:before="0" w:after="240"/>
        <w:jc w:val="righ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the Borrower or its property in the courts of any jurisdiction.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The Borrower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Section 9.09(b). Each of the parties hereto hereby irrevocably waives, to the fullest extent permitted by law, the defense of an inconvenient forum to the maintenance of such action or proceeding in any such court.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Each party to this Agreement irrevocably consents to service of process in the manner provided for notices in Section 9.01. Nothing in any Loan Document will affect the right of any party to this Agreement to serve process in any other manner permitted by law.</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9.10    </w:t>
      </w:r>
      <w:r>
        <w:rPr>
          <w:rFonts w:ascii="Times New Roman;sans-serif" w:hAnsi="Times New Roman;sans-serif"/>
          <w:b w:val="false"/>
          <w:color w:val="000000"/>
          <w:sz w:val="22"/>
          <w:u w:val="single"/>
        </w:rPr>
        <w:t>WAIVER OF JURY TRIAL</w:t>
      </w:r>
      <w:r>
        <w:rPr>
          <w:rFonts w:ascii="Times New Roman;sans-serif" w:hAnsi="Times New Roman;sans-serif"/>
          <w:b w:val="false"/>
          <w:color w:val="000000"/>
          <w:sz w:val="22"/>
        </w:rPr>
        <w:t xml:space="preserve">. </w:t>
      </w:r>
      <w:r>
        <w:rPr>
          <w:rFonts w:ascii="Times New Roman;sans-serif" w:hAnsi="Times New Roman;sans-serif"/>
          <w:b/>
          <w:color w:val="000000"/>
          <w:sz w:val="22"/>
        </w:rPr>
        <w:t>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9.11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9.12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Each of the Administrative Agent, the Lenders, the Issuing Banks, the Arrangers, the Joint Bookrunning Managers, the Syndication Agents and the Documentation Agents agrees to maintain the confidentiality of the Information (as defined below) and neither use nor disclose such Information, except that Information may be used by such Person in evaluating the credit worthiness of the Borrower or in providing financial services to Borrower or any of its Subsidiaries and may be disclosed, subject to the last paragraph of this Section 9.12 and limitations set forth in this Agreement relating to Public Lenders, (a) to its Affiliates and to its and its Affiliates’ </w:t>
      </w:r>
    </w:p>
    <w:p>
      <w:pPr>
        <w:pStyle w:val="TextBody"/>
        <w:bidi w:val="0"/>
        <w:spacing w:before="0" w:after="240"/>
        <w:jc w:val="righ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respective partners, directors, officers, employees, agents, advisors and representatives on a need-to-know basis (it being understood that the Persons to whom such disclosure is made will be informed of the confidential nature of such Information and instructed to keep such Information confidential), (b) to the extent requested or demanded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the Borrower will be promptly notified (to the extent reasonably practicable and permitted by applicable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consistent with or more restrictive than those of this Section 9.12, to (i) any assignee of or Participant in, or any prospective assignee of or Participant in, any of its rights or obligations under this Agreement, (ii) any pledgee referred to in Section 9.04(d) or (iii) any actual or prospective counterparty (or its advisors) to any swap or derivative transaction relating to the Borrower and its Obligations, (g) with the consent of the Borrower, (h) to the extent such Information (i) becomes publicly available other than as a result of a breach of this Section 9.12 or (ii) becomes available to the Administrative Agent, any Lender, any Issuing Bank or any of their respective Affiliates on a nonconfidential basis from a source other than the Borrower or any of its Related Parties, which source is not known to such Administrative Agent, Lender, Issuing Bank or Affiliate thereof to be prohibited from disclosing such information by a legal, contractual or fiduciary obligation to the Borrower or any of its Subsidiaries or (i) to market data collectors, such as league table, or other service providers to the lending industry, information regarding the closing date, size, type, purpose of, and parties to, the Facilities.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For purposes of this Section 9.12, “</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means all information received from or on behalf of the Borrower or any Subsidiary thereof relating to the Borrower or any Affiliate thereof or their respective businesses, other than any such information that is (i) available to the Administrative Agent, any Lender or Issuing Bank on a non-confidential basis prior to disclosure by or on behalf of the Borrower or any Subsidiary thereof, which source is not known to such Administrative Agent, Lender, Issuing Bank or Affiliate thereof to be prohibited from disclosing such information by a legal, contractual or fiduciary obligation to the Borrower or any of its Subsidiaries or (ii) clearly marked “non-confidential.”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Each of the Administrative Agent, the Lenders, Issuing Banks, the Arrangers, the Joint Bookrunning Managers, the Syndication Agents and the Documentation Agents acknowledges that (a) the Information may include material non-public information concerning the Borrower, its Affiliates or any of their respective securities, as the case may be, (b) it has developed compliance procedures regarding the use of material non-public information and (c) it will handle such material non-public information in accordance with applicable law, including Federal and state securities laws.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9.13    </w:t>
      </w:r>
      <w:r>
        <w:rPr>
          <w:rFonts w:ascii="Times New Roman;sans-serif" w:hAnsi="Times New Roman;sans-serif"/>
          <w:b w:val="false"/>
          <w:color w:val="000000"/>
          <w:sz w:val="22"/>
          <w:u w:val="single"/>
        </w:rPr>
        <w:t>Interest Rate Limitation</w:t>
      </w:r>
      <w:r>
        <w:rPr>
          <w:rFonts w:ascii="Times New Roman;sans-serif" w:hAnsi="Times New Roman;sans-serif"/>
          <w:b w:val="false"/>
          <w:color w:val="000000"/>
          <w:sz w:val="22"/>
        </w:rPr>
        <w:t>.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Times New Roman;sans-serif" w:hAnsi="Times New Roman;sans-serif"/>
          <w:b w:val="false"/>
          <w:color w:val="000000"/>
          <w:sz w:val="22"/>
          <w:u w:val="single"/>
        </w:rPr>
        <w:t>Charges</w:t>
      </w:r>
      <w:r>
        <w:rPr>
          <w:color w:val="000000"/>
        </w:rPr>
        <w:t>”</w:t>
      </w:r>
      <w:r>
        <w:rPr>
          <w:rFonts w:ascii="Times New Roman;sans-serif" w:hAnsi="Times New Roman;sans-serif"/>
          <w:b w:val="false"/>
          <w:color w:val="000000"/>
          <w:sz w:val="22"/>
        </w:rPr>
        <w:t>), shall exceed the maximum lawful rate (the “</w:t>
      </w:r>
      <w:r>
        <w:rPr>
          <w:rFonts w:ascii="Times New Roman;sans-serif" w:hAnsi="Times New Roman;sans-serif"/>
          <w:b w:val="false"/>
          <w:color w:val="000000"/>
          <w:sz w:val="22"/>
          <w:u w:val="single"/>
        </w:rPr>
        <w:t>Maximum Rate</w:t>
      </w:r>
      <w:r>
        <w:rPr>
          <w:color w:val="000000"/>
        </w:rPr>
        <w:t>”</w:t>
      </w:r>
      <w:r>
        <w:rPr>
          <w:rFonts w:ascii="Times New Roman;sans-serif" w:hAnsi="Times New Roman;sans-serif"/>
          <w:b w:val="false"/>
          <w:color w:val="000000"/>
          <w:sz w:val="22"/>
        </w:rPr>
        <w:t xml:space="preserve">)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w:t>
      </w:r>
    </w:p>
    <w:p>
      <w:pPr>
        <w:pStyle w:val="TextBody"/>
        <w:bidi w:val="0"/>
        <w:spacing w:before="0" w:after="240"/>
        <w:jc w:val="righ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thereof, shall be limited to the Maximum Rate and, to the extent lawful, the interest and Charges that would have been payable in respect of such Loan or LC Disbursement or participation therein but were not payable as a result of the operation of this Section 9.13 shall be cumulated and the interest and Charges payable to such Lender in respect of other Loans or LC Disbursement or participation therein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9.14    </w:t>
      </w:r>
      <w:r>
        <w:rPr>
          <w:rFonts w:ascii="Times New Roman;sans-serif" w:hAnsi="Times New Roman;sans-serif"/>
          <w:b w:val="false"/>
          <w:color w:val="000000"/>
          <w:sz w:val="22"/>
          <w:u w:val="single"/>
        </w:rPr>
        <w:t>USA Patriot Act</w:t>
      </w:r>
      <w:r>
        <w:rPr>
          <w:rFonts w:ascii="Times New Roman;sans-serif" w:hAnsi="Times New Roman;sans-serif"/>
          <w:b w:val="false"/>
          <w:color w:val="000000"/>
          <w:sz w:val="22"/>
        </w:rPr>
        <w:t>. Each Lender hereby notifies the Borrower that pursuant to the requirements of the USA Patriot Act (Title III of Pub. L. 107-56 (signed into law October 26, 2001)), as amended (the “</w:t>
      </w:r>
      <w:r>
        <w:rPr>
          <w:rFonts w:ascii="Times New Roman;sans-serif" w:hAnsi="Times New Roman;sans-serif"/>
          <w:b w:val="false"/>
          <w:color w:val="000000"/>
          <w:sz w:val="22"/>
          <w:u w:val="single"/>
        </w:rPr>
        <w:t>Patriot Act</w:t>
      </w:r>
      <w:r>
        <w:rPr>
          <w:color w:val="000000"/>
        </w:rPr>
        <w:t>”</w:t>
      </w:r>
      <w:r>
        <w:rPr>
          <w:rFonts w:ascii="Times New Roman;sans-serif" w:hAnsi="Times New Roman;sans-serif"/>
          <w:b w:val="false"/>
          <w:color w:val="000000"/>
          <w:sz w:val="22"/>
        </w:rPr>
        <w:t>) and the Beneficial Ownership Regulation, it is required to obtain, verify and record information that identifies the Borrower, which information includes the name, address and tax identification number of the Borrower and other information that will allow such Lender to identify the Borrower in accordance with the Patriot Act and the Beneficial Ownership Regulation. The Borrower shall, promptly following a written request by the Administrative Agent or any Lender through the Administrative Agent, provide all documentation and other information that the Administrative Agent or such Lender requires pursuant to applicable Law or reasonably requests, in any such case, in order to comply with its ongoing obligations under applicable “know your customer” and anti-money laundering rules and regulations, including the Patriot Act.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9.15    </w:t>
      </w:r>
      <w:r>
        <w:rPr>
          <w:rFonts w:ascii="Times New Roman;sans-serif" w:hAnsi="Times New Roman;sans-serif"/>
          <w:b w:val="false"/>
          <w:color w:val="000000"/>
          <w:sz w:val="22"/>
          <w:u w:val="single"/>
        </w:rPr>
        <w:t>No Advisory or Fiduciary Responsibility</w:t>
      </w:r>
      <w:r>
        <w:rPr>
          <w:rFonts w:ascii="Times New Roman;sans-serif" w:hAnsi="Times New Roman;sans-serif"/>
          <w:b w:val="false"/>
          <w:color w:val="000000"/>
          <w:sz w:val="22"/>
        </w:rPr>
        <w:t xml:space="preserve">. In connection with all aspects of each transaction contemplated hereby, the Borrower acknowledges and agrees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the Arrangers, the Sustainability Coordinator, the Syndication Agents, the Documentation Agents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Administrative Agent, the Arrangers, the Sustainability Coordinator, the Syndication Agents, the Documentation Agents and the Lenders each is and has been acting solely as a principal and is not the financial advisor, agent or fiduciary, for the Borrower or any of its Affiliates; (iii) none of the Administrative Agent, the Arrangers, the Sustainability Coordinator, the Syndication Agents, the Documentation Agents or the Lenders have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Administrative Agent, the Arrangers, the Sustainability Coordinator, the Syndication Agents, the Documentation Agents or the Lenders have advised or are currently advising the Borrower or any of its Affiliates on other matters) and none of the Administrative Agent, the Arrangers, the Sustainability Coordinator, the Syndication Agents, the Documentation Agents or the Lenders has any obligation to the Borrower or any of its Affiliates with respect to the transactions contemplated hereby except those obligations expressly set forth herein and in the other Loan Documents; (iv) the Administrative Agent, each Arranger, the Sustainability Coordinator, each Syndication Agent, each Documentation Agent, each Lender and their respective Affiliates may be engaged in a broad range of transactions that involve interests that differ from those of the Borrower and its Affiliates, and none of the Administrative Agent, the Arrangers, the Sustainability Coordinator, the Syndication Agents, the Documentation Agents or the Lenders has any obligation to disclose any of such </w:t>
      </w:r>
    </w:p>
    <w:p>
      <w:pPr>
        <w:pStyle w:val="TextBody"/>
        <w:bidi w:val="0"/>
        <w:spacing w:before="0" w:after="240"/>
        <w:jc w:val="righ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interests by virtue of any advisory, agency or fiduciary relationship; and (v) the Administrative Agent, the Arrangers, the Sustainability Coordinator, the Syndication Agents, the Documentation Agents and the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The Borrower hereby waives and releases, to the fullest extent permitted by law, any claims that it may have against the Administrative Agent, each Arranger, the Sustainability Coordinator, each Syndication Agent, each Documentation Agent and each Lender with respect to any breach or alleged breach of agency or fiduciary duty in connection with any aspect of any transaction contemplated hereby.</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9.16    </w:t>
      </w:r>
      <w:r>
        <w:rPr>
          <w:rFonts w:ascii="Times New Roman;sans-serif" w:hAnsi="Times New Roman;sans-serif"/>
          <w:b w:val="false"/>
          <w:color w:val="000000"/>
          <w:sz w:val="22"/>
          <w:u w:val="single"/>
        </w:rPr>
        <w:t>Judgment Currency</w:t>
      </w:r>
      <w:r>
        <w:rPr>
          <w:rFonts w:ascii="Times New Roman;sans-serif" w:hAnsi="Times New Roman;sans-serif"/>
          <w:b w:val="false"/>
          <w:color w:val="000000"/>
          <w:sz w:val="22"/>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sans-serif" w:hAnsi="Times New Roman;sans-serif"/>
          <w:b w:val="false"/>
          <w:color w:val="000000"/>
          <w:sz w:val="22"/>
          <w:u w:val="single"/>
        </w:rPr>
        <w:t>Judgment Currency</w:t>
      </w:r>
      <w:r>
        <w:rPr>
          <w:color w:val="000000"/>
        </w:rPr>
        <w:t>”</w:t>
      </w:r>
      <w:r>
        <w:rPr>
          <w:rFonts w:ascii="Times New Roman;sans-serif" w:hAnsi="Times New Roman;sans-serif"/>
          <w:b w:val="false"/>
          <w:color w:val="000000"/>
          <w:sz w:val="22"/>
        </w:rPr>
        <w:t>) other than that in which such sum is denominated in accordance with the applicable provisions of this Agreement (the “</w:t>
      </w:r>
      <w:r>
        <w:rPr>
          <w:rFonts w:ascii="Times New Roman;sans-serif" w:hAnsi="Times New Roman;sans-serif"/>
          <w:b w:val="false"/>
          <w:color w:val="000000"/>
          <w:sz w:val="22"/>
          <w:u w:val="single"/>
        </w:rPr>
        <w:t>Agreement Currency</w:t>
      </w:r>
      <w:r>
        <w:rPr>
          <w:color w:val="000000"/>
        </w:rPr>
        <w:t>”</w:t>
      </w:r>
      <w:r>
        <w:rPr>
          <w:rFonts w:ascii="Times New Roman;sans-serif" w:hAnsi="Times New Roman;sans-serif"/>
          <w:b w:val="false"/>
          <w:color w:val="000000"/>
          <w:sz w:val="22"/>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SECTION 9.17    </w:t>
      </w:r>
      <w:r>
        <w:rPr>
          <w:rFonts w:ascii="Times New Roman;sans-serif" w:hAnsi="Times New Roman;sans-serif"/>
          <w:b w:val="false"/>
          <w:color w:val="000000"/>
          <w:sz w:val="22"/>
          <w:u w:val="single"/>
        </w:rPr>
        <w:t>Electronic Execution of Assignments and Certain Other Documents</w:t>
      </w:r>
      <w:r>
        <w:rPr>
          <w:rFonts w:ascii="Times New Roman;sans-serif" w:hAnsi="Times New Roman;sans-serif"/>
          <w:b w:val="false"/>
          <w:color w:val="000000"/>
          <w:sz w:val="22"/>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modifications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9.18    </w:t>
      </w:r>
      <w:r>
        <w:rPr>
          <w:rFonts w:ascii="Times New Roman;sans-serif" w:hAnsi="Times New Roman;sans-serif"/>
          <w:b w:val="false"/>
          <w:color w:val="000000"/>
          <w:sz w:val="22"/>
          <w:u w:val="single"/>
        </w:rPr>
        <w:t>Acknowledgement and Consent to Bail-In of Affected Financial Institutions</w:t>
      </w:r>
      <w:r>
        <w:rPr>
          <w:rFonts w:ascii="Times New Roman;sans-serif" w:hAnsi="Times New Roman;sans-serif"/>
          <w:b w:val="false"/>
          <w:color w:val="000000"/>
          <w:sz w:val="22"/>
        </w:rPr>
        <w:t xml:space="preserve">. Notwithstanding anything to the contrary in any Loan Documents or in any other agreement, arrangement or understanding among any such parties, each party hereto acknowledges that any liability </w:t>
      </w:r>
    </w:p>
    <w:p>
      <w:pPr>
        <w:pStyle w:val="TextBody"/>
        <w:bidi w:val="0"/>
        <w:spacing w:before="0" w:after="240"/>
        <w:jc w:val="righ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 any Lender that is an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effects of any Bail-In Action on any such liability, including, if applicable: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a reduction in full or in part or cancellation of any such liability;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(iii)    the variation of the terms of such liability in connection with the exercise of the Write-Down and Conversion Powers of the applicable Resolution Authority.</w:t>
      </w:r>
    </w:p>
    <w:p>
      <w:pPr>
        <w:pStyle w:val="TextBody"/>
        <w:bidi w:val="0"/>
        <w:spacing w:before="0" w:after="0"/>
        <w:jc w:val="left"/>
        <w:rPr/>
      </w:pPr>
      <w:r>
        <w:rPr/>
      </w:r>
    </w:p>
    <w:p>
      <w:pPr>
        <w:pStyle w:val="TextBody"/>
        <w:bidi w:val="0"/>
        <w:spacing w:lineRule="auto" w:line="288"/>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PAGES INTENTIONALLY OMITTED]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07" w:before="0" w:after="0"/>
        <w:jc w:val="center"/>
        <w:rPr>
          <w:rFonts w:ascii="Calibri;sans-serif" w:hAnsi="Calibri;sans-serif"/>
          <w:b/>
          <w:color w:val="2E74B5"/>
          <w:sz w:val="36"/>
        </w:rPr>
      </w:pPr>
      <w:r>
        <w:rPr>
          <w:rFonts w:ascii="Calibri;sans-serif" w:hAnsi="Calibri;sans-serif"/>
          <w:b/>
          <w:color w:val="2E74B5"/>
          <w:sz w:val="36"/>
        </w:rPr>
        <w:t>Insider Trading Policy</w:t>
      </w:r>
    </w:p>
    <w:p>
      <w:pPr>
        <w:pStyle w:val="TextBody"/>
        <w:bidi w:val="0"/>
        <w:spacing w:before="0" w:after="120"/>
        <w:jc w:val="left"/>
        <w:rPr/>
      </w:pPr>
      <w:r>
        <w:rPr/>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This Insider Trading Policy (“Policy”) is adopted to protect the regulatory integrity and reputation of Nasdaq, Inc., and its global subsidiaries and affiliates (“Nasdaq”), the financial markets which Nasdaq operates, and our shareholders, customers, employees and other stakeholders.</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This Policy applies to all directors, officers, and employees of Nasdaq and its subsidiaries, as well as all consultants and contractors and others who work on behalf of Nasdaq (“Associates”). In addition, as further set forth in this Policy, this Policy applies to “Associated Persons,” defined as:</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An Associate’s family members who reside with them, such as spouse, cohabitee or domestic partner, minor or dependent children, and any person whose transactions in securities are directed by them or are subject to their control or influence;</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Any legal entity (including but not limited to any LLC, partnership, corporation, trust, or other organization) where the Associate owns a controlling interest, exercises operational control and/or has responsibility or influence on investment decisions</w:t>
      </w:r>
      <w:r>
        <w:rPr>
          <w:rFonts w:ascii="Calibri;sans-serif" w:hAnsi="Calibri;sans-serif"/>
          <w:b w:val="false"/>
          <w:color w:val="000000"/>
          <w:sz w:val="14"/>
        </w:rPr>
        <w:t>1</w:t>
      </w:r>
      <w:r>
        <w:rPr>
          <w:rFonts w:ascii="Calibri;sans-serif" w:hAnsi="Calibri;sans-serif"/>
          <w:b w:val="false"/>
          <w:color w:val="000000"/>
          <w:sz w:val="21"/>
        </w:rPr>
        <w:t>; and</w:t>
      </w:r>
    </w:p>
    <w:p>
      <w:pPr>
        <w:pStyle w:val="TextBody"/>
        <w:bidi w:val="0"/>
        <w:spacing w:lineRule="auto" w:line="307" w:before="0" w:after="120"/>
        <w:ind w:left="0" w:right="0" w:hanging="360"/>
        <w:jc w:val="left"/>
        <w:rPr/>
      </w:pPr>
      <w:r>
        <w:rPr>
          <w:color w:val="000000"/>
        </w:rPr>
        <w:t>•</w:t>
      </w:r>
      <w:r>
        <w:rPr>
          <w:rFonts w:ascii="Calibri;sans-serif" w:hAnsi="Calibri;sans-serif"/>
          <w:b w:val="false"/>
          <w:color w:val="000000"/>
          <w:sz w:val="21"/>
        </w:rPr>
        <w:t>Certain “closely affiliated persons” and “controlled organizations” as defined in applicable Supplemental Policies.</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Associates must use their reasonable best efforts to ensure Associated Persons abide by the applicable rules outlined in this policy.</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This Policy is not intended to supersede any applicable law, professional duties applicable to employees (e.g., broker-dealer employees), or, where applicable, the Rules of the Swedish Securities Markets Association (SSMA Rules). Rather, the Policy should be applied in conjunction with local law/professional standards and in a manner consistent with the Nasdaq Code of Ethics. Where other Nasdaq policies, applicable law, or the SSMA Rules impose trading rules that differ from this Policy, the stricter and broader of the rules shall apply.</w:t>
      </w:r>
    </w:p>
    <w:p>
      <w:pPr>
        <w:pStyle w:val="TextBody"/>
        <w:bidi w:val="0"/>
        <w:spacing w:lineRule="auto" w:line="307" w:before="160" w:after="240"/>
        <w:ind w:left="0" w:right="0" w:hanging="720"/>
        <w:jc w:val="left"/>
        <w:rPr>
          <w:rFonts w:ascii="Calibri;sans-serif" w:hAnsi="Calibri;sans-serif"/>
          <w:b/>
          <w:color w:val="2E74B5"/>
          <w:sz w:val="32"/>
        </w:rPr>
      </w:pPr>
      <w:r>
        <w:rPr>
          <w:rFonts w:ascii="Calibri;sans-serif" w:hAnsi="Calibri;sans-serif"/>
          <w:b/>
          <w:color w:val="2E74B5"/>
          <w:sz w:val="32"/>
        </w:rPr>
        <w:t>I.Policy Compliance and Enforcement</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 xml:space="preserve">Each Associate is accountable for compliance with this Policy and any other applicable policies, laws and regulations and must have and exercise sufficient control over all trading activity to ensure compliance (except as permitted under the Policy). </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Associates may not circumvent the provisions of this Policy by using third party accounts, including those of Associated Persons or other family members or legal entities.</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Associates may be asked for information regarding their trading activity including but not limited to sources of funds, volume of trading, trading size and patterns, and source of information by the Global Ethics and Compliance Team, their Compliance Officer, the Office of General Counsel and/or Internal Audit. In addition, Associates may be required to provide information to Nasdaq’s regulators in connection with their regulation and oversight of Nasdaq. Subject to applicable law, Associates must cooperate in any such review and provide full and accurate information to address an inquiry.</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 xml:space="preserve">Any breach of this Policy or other policies or violations of laws and regulations related to trading activity or non-public data handling may lead to disciplinary action as set forth in the Code of Ethics, up to and including </w:t>
      </w:r>
    </w:p>
    <w:p>
      <w:pPr>
        <w:pStyle w:val="TextBody"/>
        <w:bidi w:val="0"/>
        <w:spacing w:lineRule="auto" w:line="288"/>
        <w:jc w:val="left"/>
        <w:rPr/>
      </w:pPr>
      <w:r>
        <w:rPr>
          <w:rFonts w:ascii="Calibri;sans-serif" w:hAnsi="Calibri;sans-serif"/>
          <w:b w:val="false"/>
          <w:color w:val="000000"/>
          <w:sz w:val="10"/>
        </w:rPr>
        <w:t>1</w:t>
      </w:r>
      <w:r>
        <w:rPr>
          <w:color w:val="000000"/>
        </w:rPr>
        <w:t xml:space="preserve"> </w:t>
      </w:r>
      <w:r>
        <w:rPr>
          <w:rFonts w:ascii="Calibri;sans-serif" w:hAnsi="Calibri;sans-serif"/>
          <w:b w:val="false"/>
          <w:color w:val="000000"/>
          <w:sz w:val="16"/>
        </w:rPr>
        <w:t>Associates are responsible for obtaining approval prior to establishing such a legal entity or taking such a role regarding a legal entity as required by the “outside business activity” and conflict of interest provisions in the Code of Ethics. Legal entities where an Associate serves as a director or other role on behalf of Nasdaq are not Associated Persons.</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51155"/>
                <wp:effectExtent l="0" t="0" r="0" b="0"/>
                <wp:wrapNone/>
                <wp:docPr id="257" name="Frame2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 xml:space="preserve">termination of employment. Violations and/or suspicious trading activity may also be subject to regulatory referral or reporting which could lead to civil or criminal prosecution. </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 xml:space="preserve">Insider trading, market abuse, misappropriation of non-public information and “tipping” are serious criminal offenses and may be punishable by imprisonment and substantial fines. </w:t>
      </w:r>
    </w:p>
    <w:p>
      <w:pPr>
        <w:pStyle w:val="TextBody"/>
        <w:bidi w:val="0"/>
        <w:spacing w:lineRule="auto" w:line="307" w:before="160" w:after="240"/>
        <w:ind w:left="0" w:right="0" w:hanging="720"/>
        <w:jc w:val="left"/>
        <w:rPr>
          <w:rFonts w:ascii="Calibri;sans-serif" w:hAnsi="Calibri;sans-serif"/>
          <w:b/>
          <w:color w:val="2E74B5"/>
          <w:sz w:val="32"/>
        </w:rPr>
      </w:pPr>
      <w:r>
        <w:rPr>
          <w:rFonts w:ascii="Calibri;sans-serif" w:hAnsi="Calibri;sans-serif"/>
          <w:b/>
          <w:color w:val="2E74B5"/>
          <w:sz w:val="32"/>
        </w:rPr>
        <w:t>II.Prohibition on Insider Trading and Market Abuse</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 xml:space="preserve">Insider Trading is buying or selling publicly traded securities when an individual has important information about a company that members of the public do not have. It is illegal in nearly all jurisdictions and can result in a fine and/or imprisonment. </w:t>
      </w:r>
    </w:p>
    <w:p>
      <w:pPr>
        <w:pStyle w:val="TextBody"/>
        <w:bidi w:val="0"/>
        <w:spacing w:lineRule="auto" w:line="307" w:before="160" w:after="240"/>
        <w:ind w:left="0" w:right="0" w:hanging="360"/>
        <w:jc w:val="left"/>
        <w:rPr>
          <w:rFonts w:ascii="Calibri;sans-serif" w:hAnsi="Calibri;sans-serif"/>
          <w:b w:val="false"/>
          <w:color w:val="2E74B5"/>
          <w:sz w:val="32"/>
        </w:rPr>
      </w:pPr>
      <w:r>
        <w:rPr>
          <w:rFonts w:ascii="Calibri;sans-serif" w:hAnsi="Calibri;sans-serif"/>
          <w:b w:val="false"/>
          <w:color w:val="2E74B5"/>
          <w:sz w:val="32"/>
        </w:rPr>
        <w:t xml:space="preserve">A.Prohibition on Insider Trading </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 xml:space="preserve">The United States, European Economic Area countries, the United Kingdom and other jurisdictions where Nasdaq conducts business prohibit, by law, insider trading and other forms of market abuse. Associates who are aware of material non-public information (“MNPI”) (or information qualifying under similar terms – e.g., “insider information” – used to describe similar non-public information under applicable insider trading and market abuse laws) relating to Nasdaq or to any other company may not buy or sell Nasdaq or such other company’s securities while in possession of such information. Further, they may not give, communicate, or in any other way “tip” or convey such information to another person. These restrictions apply regardless of whether they received information as an intended recipient or received it incidental to their work at Nasdaq (e.g., received it as part of a group email or accidentally overheard a conversation). </w:t>
      </w:r>
    </w:p>
    <w:p>
      <w:pPr>
        <w:pStyle w:val="TextBody"/>
        <w:bidi w:val="0"/>
        <w:spacing w:lineRule="auto" w:line="307" w:before="160" w:after="240"/>
        <w:ind w:left="0" w:right="0" w:hanging="360"/>
        <w:jc w:val="left"/>
        <w:rPr>
          <w:rFonts w:ascii="Calibri;sans-serif" w:hAnsi="Calibri;sans-serif"/>
          <w:b w:val="false"/>
          <w:i/>
          <w:color w:val="2E74B5"/>
          <w:sz w:val="32"/>
        </w:rPr>
      </w:pPr>
      <w:r>
        <w:rPr>
          <w:rFonts w:ascii="Calibri;sans-serif" w:hAnsi="Calibri;sans-serif"/>
          <w:b w:val="false"/>
          <w:i/>
          <w:color w:val="2E74B5"/>
          <w:sz w:val="32"/>
        </w:rPr>
        <w:t xml:space="preserve">1.What is MNPI? </w:t>
      </w:r>
    </w:p>
    <w:p>
      <w:pPr>
        <w:pStyle w:val="TextBody"/>
        <w:bidi w:val="0"/>
        <w:spacing w:lineRule="auto" w:line="307" w:before="0" w:after="120"/>
        <w:jc w:val="left"/>
        <w:rPr/>
      </w:pPr>
      <w:r>
        <w:rPr>
          <w:rFonts w:ascii="Calibri;sans-serif" w:hAnsi="Calibri;sans-serif"/>
          <w:b w:val="false"/>
          <w:color w:val="000000"/>
          <w:sz w:val="21"/>
        </w:rPr>
        <w:t>The term MNPI is broadly construed. It includes any non-public information that, if publicly disclosed, (a) might have an effect on the market for the securities of the issuer generally, (b) might affect an individual investment decision of a reasonable investor, or (c) might cause an insider to change his/her trading patterns.</w:t>
      </w:r>
      <w:r>
        <w:rPr>
          <w:rFonts w:ascii="Calibri;sans-serif" w:hAnsi="Calibri;sans-serif"/>
          <w:b w:val="false"/>
          <w:color w:val="000000"/>
          <w:sz w:val="14"/>
        </w:rPr>
        <w:t>2</w:t>
      </w:r>
      <w:r>
        <w:rPr>
          <w:color w:val="000000"/>
        </w:rPr>
        <w:t xml:space="preserve"> </w:t>
      </w:r>
      <w:r>
        <w:rPr>
          <w:rFonts w:ascii="Calibri;sans-serif" w:hAnsi="Calibri;sans-serif"/>
          <w:b w:val="false"/>
          <w:color w:val="000000"/>
          <w:sz w:val="21"/>
        </w:rPr>
        <w:t>For information to be considered public, it must have been disclosed in public filings or widely disseminated through press releases and widely available in news media, websites, or webcasts.</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MNPI includes, but is not limited to, non-public information relating to:</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Financial results and projections of future earnings or losses;</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News of a pending or proposed merger, acquisition, tender offer or other corporate development or news that discussions or negotiations with respect thereto are in progress;</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Information related to the potential de-listing of a company or the non-payment by a listed company of its listing fees;</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News of a significant new business transaction;</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Possible dividend increases or decreases, a declaration of a stock split or the offering of additional securities;</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Significant new products or services;</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Significant litigation or litigation developments, actual or threatened disputes or governmental investigations;</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Significant data breaches or cybersecurity risks or incidents;</w:t>
      </w:r>
    </w:p>
    <w:p>
      <w:pPr>
        <w:pStyle w:val="TextBody"/>
        <w:bidi w:val="0"/>
        <w:spacing w:lineRule="auto" w:line="307" w:before="0" w:after="120"/>
        <w:jc w:val="left"/>
        <w:rPr/>
      </w:pPr>
      <w:r>
        <w:rPr>
          <w:rFonts w:ascii="Calibri;sans-serif" w:hAnsi="Calibri;sans-serif"/>
          <w:b w:val="false"/>
          <w:color w:val="000000"/>
          <w:sz w:val="10"/>
        </w:rPr>
        <w:t>2</w:t>
      </w:r>
      <w:r>
        <w:rPr>
          <w:color w:val="000000"/>
        </w:rPr>
        <w:t xml:space="preserve"> </w:t>
      </w:r>
      <w:r>
        <w:rPr>
          <w:rFonts w:ascii="Calibri;sans-serif" w:hAnsi="Calibri;sans-serif"/>
          <w:b w:val="false"/>
          <w:color w:val="000000"/>
          <w:sz w:val="16"/>
        </w:rPr>
        <w:t xml:space="preserve">Even if non-public information is not “material,” under Nasdaq’s Code of Ethics, Associates are prohibited from using any non-public information learned during their employment at Nasdaq except to perform their work for Nasdaq; Associates are also prohibited from disclosing this information except as explicitly authorized. Violations of these requirements can result in disciplinary action, up to and including termination.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51155"/>
                <wp:effectExtent l="0" t="0" r="0" b="0"/>
                <wp:wrapNone/>
                <wp:docPr id="258" name="Frame2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Any significant changes in management or control of the issuer of the securities; and</w:t>
      </w:r>
    </w:p>
    <w:p>
      <w:pPr>
        <w:pStyle w:val="TextBody"/>
        <w:bidi w:val="0"/>
        <w:spacing w:lineRule="auto" w:line="307" w:before="0" w:after="120"/>
        <w:ind w:left="0" w:right="0" w:hanging="360"/>
        <w:jc w:val="left"/>
        <w:rPr/>
      </w:pPr>
      <w:r>
        <w:rPr>
          <w:color w:val="000000"/>
        </w:rPr>
        <w:t>•</w:t>
      </w:r>
      <w:r>
        <w:rPr>
          <w:rFonts w:ascii="Calibri;sans-serif" w:hAnsi="Calibri;sans-serif"/>
          <w:b w:val="false"/>
          <w:color w:val="000000"/>
          <w:sz w:val="21"/>
        </w:rPr>
        <w:t>Significant new contracts or loss of business.</w:t>
      </w:r>
    </w:p>
    <w:p>
      <w:pPr>
        <w:pStyle w:val="TextBody"/>
        <w:bidi w:val="0"/>
        <w:spacing w:lineRule="auto" w:line="307" w:before="160" w:after="240"/>
        <w:ind w:left="0" w:right="0" w:hanging="360"/>
        <w:jc w:val="left"/>
        <w:rPr>
          <w:rFonts w:ascii="Calibri;sans-serif" w:hAnsi="Calibri;sans-serif"/>
          <w:b w:val="false"/>
          <w:i/>
          <w:color w:val="2E74B5"/>
          <w:sz w:val="32"/>
        </w:rPr>
      </w:pPr>
      <w:r>
        <w:rPr>
          <w:rFonts w:ascii="Calibri;sans-serif" w:hAnsi="Calibri;sans-serif"/>
          <w:b w:val="false"/>
          <w:i/>
          <w:color w:val="2E74B5"/>
          <w:sz w:val="32"/>
        </w:rPr>
        <w:t>2.Protecting MNPI</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 xml:space="preserve">Just like other forms of confidential information that an Associate may learn during their employment at Nasdaq, MNPI cannot be communicated to other persons in any manner, except those within Nasdaq with a legitimate “need to know.” Even inadvertent communications must be avoided. Any improper disclosure of MNPI must be immediately reported to the Information Security Team and the Office of General Counsel. </w:t>
      </w:r>
    </w:p>
    <w:p>
      <w:pPr>
        <w:pStyle w:val="TextBody"/>
        <w:bidi w:val="0"/>
        <w:spacing w:lineRule="auto" w:line="307" w:before="160" w:after="240"/>
        <w:ind w:left="0" w:right="0" w:hanging="360"/>
        <w:jc w:val="left"/>
        <w:rPr>
          <w:rFonts w:ascii="Calibri;sans-serif" w:hAnsi="Calibri;sans-serif"/>
          <w:b w:val="false"/>
          <w:color w:val="2E74B5"/>
          <w:sz w:val="32"/>
        </w:rPr>
      </w:pPr>
      <w:r>
        <w:rPr>
          <w:rFonts w:ascii="Calibri;sans-serif" w:hAnsi="Calibri;sans-serif"/>
          <w:b w:val="false"/>
          <w:color w:val="2E74B5"/>
          <w:sz w:val="32"/>
        </w:rPr>
        <w:t xml:space="preserve">B.Prohibition on Market Abuse </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Associates are prohibited from engaging in or supporting activities that may constitute market abuse. Market abuse offenses typically cover the insider trading situations mentioned above but may also include far broader scenarios and involve a wider variety of securities. These broader scenarios may include:</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misuse of information;</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manipulating transactions which give a false or misleading impression as to the supply, demand, or price of a security;</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dissemination of information likely to give a false or misleading impression; and</w:t>
      </w:r>
    </w:p>
    <w:p>
      <w:pPr>
        <w:pStyle w:val="TextBody"/>
        <w:bidi w:val="0"/>
        <w:spacing w:lineRule="auto" w:line="307" w:before="0" w:after="120"/>
        <w:ind w:left="0" w:right="0" w:hanging="360"/>
        <w:jc w:val="left"/>
        <w:rPr/>
      </w:pPr>
      <w:r>
        <w:rPr>
          <w:color w:val="000000"/>
        </w:rPr>
        <w:t>•</w:t>
      </w:r>
      <w:r>
        <w:rPr>
          <w:rFonts w:ascii="Calibri;sans-serif" w:hAnsi="Calibri;sans-serif"/>
          <w:b w:val="false"/>
          <w:color w:val="000000"/>
          <w:sz w:val="21"/>
        </w:rPr>
        <w:t>transactions which might distort the market.</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Insider trading and market abuse are extremely serious offenses that undermine public confidence and can have a detrimental effect on Nasdaq’s credibility and business. Both Nasdaq and individual Associates may be subject to criminal and civil liability for any such violations.</w:t>
      </w:r>
    </w:p>
    <w:p>
      <w:pPr>
        <w:pStyle w:val="TextBody"/>
        <w:bidi w:val="0"/>
        <w:spacing w:lineRule="auto" w:line="307" w:before="160" w:after="240"/>
        <w:ind w:left="0" w:right="0" w:hanging="720"/>
        <w:jc w:val="left"/>
        <w:rPr>
          <w:rFonts w:ascii="Calibri;sans-serif" w:hAnsi="Calibri;sans-serif"/>
          <w:b/>
          <w:color w:val="2E74B5"/>
          <w:sz w:val="32"/>
        </w:rPr>
      </w:pPr>
      <w:r>
        <w:rPr>
          <w:rFonts w:ascii="Calibri;sans-serif" w:hAnsi="Calibri;sans-serif"/>
          <w:b/>
          <w:color w:val="2E74B5"/>
          <w:sz w:val="32"/>
        </w:rPr>
        <w:t>III.Trading in Nasdaq-Issued Securities</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 xml:space="preserve">Trading in stocks, bonds and other securities issued by Nasdaq (“NDAQ Securities”) are subject to special restrictions and requirements. </w:t>
      </w:r>
    </w:p>
    <w:p>
      <w:pPr>
        <w:pStyle w:val="TextBody"/>
        <w:bidi w:val="0"/>
        <w:spacing w:lineRule="auto" w:line="307" w:before="160" w:after="240"/>
        <w:ind w:left="0" w:right="0" w:hanging="360"/>
        <w:jc w:val="left"/>
        <w:rPr>
          <w:rFonts w:ascii="Calibri;sans-serif" w:hAnsi="Calibri;sans-serif"/>
          <w:b w:val="false"/>
          <w:color w:val="2E74B5"/>
          <w:sz w:val="32"/>
        </w:rPr>
      </w:pPr>
      <w:r>
        <w:rPr>
          <w:rFonts w:ascii="Calibri;sans-serif" w:hAnsi="Calibri;sans-serif"/>
          <w:b w:val="false"/>
          <w:color w:val="2E74B5"/>
          <w:sz w:val="32"/>
        </w:rPr>
        <w:t>A.Short Selling &amp; Options Involving NDAQ Securities</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 xml:space="preserve">Short selling is the sale of securities an individual does not own at the time of sale, but that they promise to deliver in the future, and is an attempt to profit from an anticipated drop in market prices. Ownership in NDAQ Securities provides an opportunity to share in the long-term growth of the company. Short-term investments based on market fluctuations are incompatible with this objective and may put the Associate’s personal gain in conflict with the best interests of Nasdaq and its shareholders. </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 xml:space="preserve">Associates are prohibited from selling NDAQ Securities “short,” or from creating any similar short position in Nasdaq or NDAQ Securities through the use of derivatives. In addition, Associates are prohibited from selling option contracts against any NDAQ Securities that they own or otherwise trading in options on NDAQ Securities. </w:t>
      </w:r>
    </w:p>
    <w:p>
      <w:pPr>
        <w:pStyle w:val="TextBody"/>
        <w:bidi w:val="0"/>
        <w:spacing w:lineRule="auto" w:line="307" w:before="160" w:after="240"/>
        <w:ind w:left="0" w:right="0" w:hanging="360"/>
        <w:jc w:val="left"/>
        <w:rPr>
          <w:rFonts w:ascii="Calibri;sans-serif" w:hAnsi="Calibri;sans-serif"/>
          <w:b w:val="false"/>
          <w:color w:val="2E74B5"/>
          <w:sz w:val="32"/>
        </w:rPr>
      </w:pPr>
      <w:r>
        <w:rPr>
          <w:rFonts w:ascii="Calibri;sans-serif" w:hAnsi="Calibri;sans-serif"/>
          <w:b w:val="false"/>
          <w:color w:val="2E74B5"/>
          <w:sz w:val="32"/>
        </w:rPr>
        <w:t>B.Watch List Associates</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 xml:space="preserve">Watch List Associates are individuals identified as having access to Nasdaq internal financial statements or other material non-public information (MNPI) about Nasdaq related to the development of its quarterly and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51155"/>
                <wp:effectExtent l="0" t="0" r="0" b="0"/>
                <wp:wrapNone/>
                <wp:docPr id="259" name="Frame2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annual financial reporting. Associates identified as Watch List Associates will be notified that they are on the Watch List.</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To avoid any improper transaction in NDAQ Securities or the appearance of impropriety, Watch List Associates are precluded from trading NDAQ Securities during a closed trading window.</w:t>
      </w:r>
    </w:p>
    <w:p>
      <w:pPr>
        <w:pStyle w:val="TextBody"/>
        <w:bidi w:val="0"/>
        <w:spacing w:lineRule="auto" w:line="307" w:before="160" w:after="80"/>
        <w:ind w:left="0" w:right="0" w:hanging="360"/>
        <w:jc w:val="left"/>
        <w:rPr>
          <w:rFonts w:ascii="Calibri;sans-serif" w:hAnsi="Calibri;sans-serif"/>
          <w:b w:val="false"/>
          <w:i/>
          <w:color w:val="2E74B5"/>
          <w:sz w:val="28"/>
        </w:rPr>
      </w:pPr>
      <w:r>
        <w:rPr>
          <w:rFonts w:ascii="Calibri;sans-serif" w:hAnsi="Calibri;sans-serif"/>
          <w:b w:val="false"/>
          <w:i/>
          <w:color w:val="2E74B5"/>
          <w:sz w:val="28"/>
        </w:rPr>
        <w:t>1.Trading Windows</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 xml:space="preserve">Trading window status is posted to Nasdaq’s intranet. </w:t>
      </w:r>
    </w:p>
    <w:p>
      <w:pPr>
        <w:pStyle w:val="TextBody"/>
        <w:bidi w:val="0"/>
        <w:spacing w:lineRule="auto" w:line="307" w:before="80" w:after="40"/>
        <w:ind w:left="0" w:right="0" w:firstLine="720"/>
        <w:jc w:val="left"/>
        <w:rPr>
          <w:rFonts w:ascii="Calibri;sans-serif" w:hAnsi="Calibri;sans-serif"/>
          <w:b w:val="false"/>
          <w:i/>
          <w:color w:val="2E74B5"/>
          <w:sz w:val="21"/>
        </w:rPr>
      </w:pPr>
      <w:r>
        <w:rPr>
          <w:rFonts w:ascii="Calibri;sans-serif" w:hAnsi="Calibri;sans-serif"/>
          <w:b w:val="false"/>
          <w:i/>
          <w:color w:val="2E74B5"/>
          <w:sz w:val="21"/>
        </w:rPr>
        <w:t>Window Open</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Trading windows typically open one full trading day after financial results for the fiscal quarter have been publicly disclosed. Nasdaq may close or delay the opening of a trading window for Watch List Associates, or any smaller subset of Associates, at any time it deems necessary or advisable. Watch List Associates will be notified at the opening of a trading window.</w:t>
      </w:r>
    </w:p>
    <w:p>
      <w:pPr>
        <w:pStyle w:val="TextBody"/>
        <w:bidi w:val="0"/>
        <w:spacing w:lineRule="auto" w:line="307" w:before="80" w:after="40"/>
        <w:ind w:left="0" w:right="0" w:firstLine="720"/>
        <w:jc w:val="left"/>
        <w:rPr>
          <w:rFonts w:ascii="Calibri;sans-serif" w:hAnsi="Calibri;sans-serif"/>
          <w:b w:val="false"/>
          <w:i/>
          <w:color w:val="2E74B5"/>
          <w:sz w:val="21"/>
        </w:rPr>
      </w:pPr>
      <w:r>
        <w:rPr>
          <w:rFonts w:ascii="Calibri;sans-serif" w:hAnsi="Calibri;sans-serif"/>
          <w:b w:val="false"/>
          <w:i/>
          <w:color w:val="2E74B5"/>
          <w:sz w:val="21"/>
        </w:rPr>
        <w:t>Window Close</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Trading windows typically close at the end of the trading day on the fourteenth (14th) day of the last month of each quarter: March 14, June 14, September 14, and December 14. Nasdaq may close the trading window outside of the listed dates if it deems necessary or advisable. In the event the trading window is closed outside of the listed dates, Watch List Associates will be notified.</w:t>
      </w:r>
    </w:p>
    <w:p>
      <w:pPr>
        <w:pStyle w:val="TextBody"/>
        <w:bidi w:val="0"/>
        <w:spacing w:lineRule="auto" w:line="307" w:before="160" w:after="80"/>
        <w:ind w:left="0" w:right="0" w:hanging="360"/>
        <w:jc w:val="left"/>
        <w:rPr>
          <w:rFonts w:ascii="Calibri;sans-serif" w:hAnsi="Calibri;sans-serif"/>
          <w:b w:val="false"/>
          <w:i/>
          <w:color w:val="2E74B5"/>
          <w:sz w:val="28"/>
        </w:rPr>
      </w:pPr>
      <w:r>
        <w:rPr>
          <w:rFonts w:ascii="Calibri;sans-serif" w:hAnsi="Calibri;sans-serif"/>
          <w:b w:val="false"/>
          <w:i/>
          <w:color w:val="2E74B5"/>
          <w:sz w:val="28"/>
        </w:rPr>
        <w:t>2.Incentive Plan and ESPP Shares</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Share withholding to satisfy tax obligations related to the vesting of an award made under Nasdaq’s Equity Incentive Plan or the vesting or settlement of such awards are not subject to trading restrictions under the Policy. However, the sale of any shares acquired under the Equity Incentive Plan or Employee Stock Purchase Plan (ESPP) is subject to trading restrictions for Watch List Associates.</w:t>
      </w:r>
    </w:p>
    <w:p>
      <w:pPr>
        <w:pStyle w:val="TextBody"/>
        <w:bidi w:val="0"/>
        <w:spacing w:lineRule="auto" w:line="307" w:before="160" w:after="240"/>
        <w:ind w:left="0" w:right="0" w:hanging="360"/>
        <w:jc w:val="left"/>
        <w:rPr>
          <w:rFonts w:ascii="Calibri;sans-serif" w:hAnsi="Calibri;sans-serif"/>
          <w:b w:val="false"/>
          <w:color w:val="2E74B5"/>
          <w:sz w:val="32"/>
        </w:rPr>
      </w:pPr>
      <w:r>
        <w:rPr>
          <w:rFonts w:ascii="Calibri;sans-serif" w:hAnsi="Calibri;sans-serif"/>
          <w:b w:val="false"/>
          <w:color w:val="2E74B5"/>
          <w:sz w:val="32"/>
        </w:rPr>
        <w:t>C.No Safe Harbor – Possession of Material Non-Public Information</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Trading in NDAQ Securities during the open trading window should not be considered a “safe harbor.” Even during an open trading window, any person possessing MNPI concerning Nasdaq must not engage in any transactions in NDAQ Securities until such information has been sufficiently publicized so that the public has had the opportunity to evaluate the information. Associates should refrain from any transactions in NDAQ Securities until at least one full trading day has passed after the public announcement of such information, whether or not the Associate is on the Watch List.</w:t>
      </w:r>
    </w:p>
    <w:p>
      <w:pPr>
        <w:pStyle w:val="TextBody"/>
        <w:bidi w:val="0"/>
        <w:spacing w:lineRule="auto" w:line="307" w:before="160" w:after="240"/>
        <w:ind w:left="0" w:right="0" w:hanging="360"/>
        <w:jc w:val="left"/>
        <w:rPr/>
      </w:pPr>
      <w:r>
        <w:rPr>
          <w:rFonts w:ascii="Calibri;sans-serif" w:hAnsi="Calibri;sans-serif"/>
          <w:b w:val="false"/>
          <w:color w:val="2E74B5"/>
          <w:sz w:val="32"/>
        </w:rPr>
        <w:t>D.Rule 10b5-1 Plans</w:t>
      </w:r>
      <w:r>
        <w:rPr>
          <w:color w:val="2E74B5"/>
        </w:rPr>
        <w:t xml:space="preserve"> </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Rule 10b5-1 of the U.S. Exchange Act provides an affirmative defense under the U.S. Federal Securities laws from certain insider trading violations. A Rule 10b5-1 Plan specifies (including by formula) the amount, pricing, and timing of transactions in advance, or delegates discretion on those matters to an independent third party. Once the Plan is adopted, the person adopting the Plan may not exercise any influence over the amount of Securities to be traded, the price at which they are traded or the date of trade.</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The following requirements apply to any Associate who wants to enter into a Rule 10b5-1 Plan for NDAQ Securities:</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51155"/>
                <wp:effectExtent l="0" t="0" r="0" b="0"/>
                <wp:wrapNone/>
                <wp:docPr id="260" name="Frame2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Associates who are employees can only enter into a Rule 10b5-1 Plans at the broker utilized by Nasdaq for its equity incentive plans and ESPP,</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 xml:space="preserve">The Rule 10b5-1 Plan must be done using an agreement form approved by Nasdaq’s Office of General Counsel in its sole discretion, </w:t>
      </w:r>
    </w:p>
    <w:p>
      <w:pPr>
        <w:pStyle w:val="TextBody"/>
        <w:bidi w:val="0"/>
        <w:spacing w:lineRule="auto" w:line="307" w:before="0" w:after="0"/>
        <w:ind w:left="0" w:right="0" w:hanging="360"/>
        <w:jc w:val="left"/>
        <w:rPr/>
      </w:pPr>
      <w:r>
        <w:rPr>
          <w:color w:val="000000"/>
        </w:rPr>
        <w:t>•</w:t>
      </w:r>
      <w:r>
        <w:rPr>
          <w:rFonts w:ascii="Calibri;sans-serif" w:hAnsi="Calibri;sans-serif"/>
          <w:b w:val="false"/>
          <w:color w:val="000000"/>
          <w:sz w:val="21"/>
        </w:rPr>
        <w:t>The Rule 10b5-1 Plan must be approved by Nasdaq’s Stock Plan Administrator (in the People@Nasdaq team), and</w:t>
      </w:r>
    </w:p>
    <w:p>
      <w:pPr>
        <w:pStyle w:val="TextBody"/>
        <w:bidi w:val="0"/>
        <w:spacing w:lineRule="auto" w:line="307" w:before="0" w:after="120"/>
        <w:ind w:left="0" w:right="0" w:hanging="360"/>
        <w:jc w:val="left"/>
        <w:rPr/>
      </w:pPr>
      <w:r>
        <w:rPr>
          <w:color w:val="000000"/>
        </w:rPr>
        <w:t>•</w:t>
      </w:r>
      <w:r>
        <w:rPr>
          <w:rFonts w:ascii="Calibri;sans-serif" w:hAnsi="Calibri;sans-serif"/>
          <w:b w:val="false"/>
          <w:color w:val="000000"/>
          <w:sz w:val="21"/>
        </w:rPr>
        <w:t>The Rule 10b5-1 Plan must comply with the specified conditions and requirements under the Exchange Act Rule 10b5-1(c), including but not limited to, applicable cooling-off periods and restrictions on overlapping and single trade plans.</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 xml:space="preserve">Once effective following any cooling-off period, trades by Associates in NDAQ Securities that are executed pursuant to an approved Rule 10b5-1 Plan are not subject to the restrictions on trading while aware of MNPI regarding Nasdaq, restrictions set forth above relating to the trading window, and are not subject to pre-clearance procedures, where applicable. </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 xml:space="preserve">Rule 10b5-1 Plans may only be adopted, amended, or modified during an open trading window period and by a person who is not aware of any MNPI. Associates may not enter into a “non-Rule 10b5-1 trading arrangement” (as defined under applicable regulations) without prior written approval from the Office of General Counsel. </w:t>
      </w:r>
    </w:p>
    <w:p>
      <w:pPr>
        <w:pStyle w:val="TextBody"/>
        <w:bidi w:val="0"/>
        <w:spacing w:lineRule="auto" w:line="307" w:before="160" w:after="240"/>
        <w:ind w:left="0" w:right="0" w:hanging="360"/>
        <w:jc w:val="left"/>
        <w:rPr>
          <w:rFonts w:ascii="Calibri;sans-serif" w:hAnsi="Calibri;sans-serif"/>
          <w:b w:val="false"/>
          <w:color w:val="2E74B5"/>
          <w:sz w:val="32"/>
        </w:rPr>
      </w:pPr>
      <w:r>
        <w:rPr>
          <w:rFonts w:ascii="Calibri;sans-serif" w:hAnsi="Calibri;sans-serif"/>
          <w:b w:val="false"/>
          <w:color w:val="2E74B5"/>
          <w:sz w:val="32"/>
        </w:rPr>
        <w:t>E.Other Restrictions on NDAQ Securities</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When deemed necessary, Nasdaq may preclude the trading of NDAQ Securities by all or some Associates or Associated Persons due to developments known within the company but not disclosed. Consistent with U.S. Securities and Exchange Commission guidance, this may include events that constitute significant data breaches or cybersecurity events.</w:t>
      </w:r>
    </w:p>
    <w:p>
      <w:pPr>
        <w:pStyle w:val="TextBody"/>
        <w:bidi w:val="0"/>
        <w:spacing w:lineRule="auto" w:line="307" w:before="160" w:after="80"/>
        <w:jc w:val="left"/>
        <w:rPr>
          <w:rFonts w:ascii="Calibri;sans-serif" w:hAnsi="Calibri;sans-serif"/>
          <w:b w:val="false"/>
          <w:color w:val="2E74B5"/>
          <w:sz w:val="32"/>
        </w:rPr>
      </w:pPr>
      <w:r>
        <w:rPr>
          <w:rFonts w:ascii="Calibri;sans-serif" w:hAnsi="Calibri;sans-serif"/>
          <w:b w:val="false"/>
          <w:color w:val="2E74B5"/>
          <w:sz w:val="32"/>
        </w:rPr>
        <w:t>F. Gifting NDAQ Securities</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Associates may not make a gift of NDAQ Securities while aware of material nonpublic information. In addition, Watch List Associates may not gift NDAQ Securities during a closed window. Directors and Section 16 officers also must obtain pre-clearance from the Office of General Counsel before making any gift of NDAQ Securities.</w:t>
      </w:r>
    </w:p>
    <w:p>
      <w:pPr>
        <w:pStyle w:val="TextBody"/>
        <w:bidi w:val="0"/>
        <w:spacing w:lineRule="auto" w:line="307" w:before="160" w:after="80"/>
        <w:ind w:left="0" w:right="0" w:hanging="360"/>
        <w:jc w:val="left"/>
        <w:rPr>
          <w:rFonts w:ascii="Calibri;sans-serif" w:hAnsi="Calibri;sans-serif"/>
          <w:b w:val="false"/>
          <w:color w:val="2E74B5"/>
          <w:sz w:val="32"/>
        </w:rPr>
      </w:pPr>
      <w:r>
        <w:rPr>
          <w:rFonts w:ascii="Calibri;sans-serif" w:hAnsi="Calibri;sans-serif"/>
          <w:b w:val="false"/>
          <w:color w:val="2E74B5"/>
          <w:sz w:val="32"/>
        </w:rPr>
        <w:t>G.Trading by Nasdaq in NDAQ Securities</w:t>
      </w:r>
    </w:p>
    <w:p>
      <w:pPr>
        <w:pStyle w:val="TextBody"/>
        <w:bidi w:val="0"/>
        <w:spacing w:lineRule="auto" w:line="307" w:before="240" w:after="120"/>
        <w:jc w:val="left"/>
        <w:rPr>
          <w:rFonts w:ascii="Calibri;sans-serif" w:hAnsi="Calibri;sans-serif"/>
          <w:b w:val="false"/>
          <w:color w:val="000000"/>
          <w:sz w:val="21"/>
        </w:rPr>
      </w:pPr>
      <w:r>
        <w:rPr>
          <w:rFonts w:ascii="Calibri;sans-serif" w:hAnsi="Calibri;sans-serif"/>
          <w:b w:val="false"/>
          <w:color w:val="000000"/>
          <w:sz w:val="21"/>
        </w:rPr>
        <w:t>It is Nasdaq’s policy to comply with all applicable securities and state laws (including appropriate approvals by the Board of Directors or appropriate committee, if required) when engaging in transactions involving any securities issued by Nasdaq or by any subsidiary of Nasdaq.</w:t>
      </w:r>
    </w:p>
    <w:p>
      <w:pPr>
        <w:pStyle w:val="TextBody"/>
        <w:bidi w:val="0"/>
        <w:spacing w:lineRule="auto" w:line="307" w:before="160" w:after="240"/>
        <w:ind w:left="0" w:right="0" w:hanging="720"/>
        <w:jc w:val="left"/>
        <w:rPr>
          <w:rFonts w:ascii="Calibri;sans-serif" w:hAnsi="Calibri;sans-serif"/>
          <w:b/>
          <w:color w:val="2E74B5"/>
          <w:sz w:val="32"/>
        </w:rPr>
      </w:pPr>
      <w:r>
        <w:rPr>
          <w:rFonts w:ascii="Calibri;sans-serif" w:hAnsi="Calibri;sans-serif"/>
          <w:b/>
          <w:color w:val="2E74B5"/>
          <w:sz w:val="32"/>
        </w:rPr>
        <w:t>IV.Additional Requirements for Directors and Executive Officers</w:t>
      </w:r>
    </w:p>
    <w:p>
      <w:pPr>
        <w:pStyle w:val="TextBody"/>
        <w:bidi w:val="0"/>
        <w:spacing w:lineRule="auto" w:line="307" w:before="0" w:after="120"/>
        <w:jc w:val="left"/>
        <w:rPr>
          <w:rFonts w:ascii="Calibri;sans-serif" w:hAnsi="Calibri;sans-serif"/>
          <w:b w:val="false"/>
          <w:color w:val="000000"/>
          <w:sz w:val="21"/>
        </w:rPr>
      </w:pPr>
      <w:r>
        <w:rPr>
          <w:rFonts w:ascii="Calibri;sans-serif" w:hAnsi="Calibri;sans-serif"/>
          <w:b w:val="false"/>
          <w:color w:val="000000"/>
          <w:sz w:val="21"/>
        </w:rPr>
        <w:t>This Section IV applies to:</w:t>
      </w:r>
    </w:p>
    <w:p>
      <w:pPr>
        <w:pStyle w:val="TextBody"/>
        <w:bidi w:val="0"/>
        <w:spacing w:lineRule="auto" w:line="288" w:before="90" w:after="240"/>
        <w:ind w:left="0" w:right="0" w:hanging="360"/>
        <w:jc w:val="left"/>
        <w:rPr/>
      </w:pPr>
      <w:r>
        <w:rPr>
          <w:color w:val="000000"/>
        </w:rPr>
        <w:t>•</w:t>
      </w:r>
      <w:r>
        <w:rPr>
          <w:rFonts w:ascii="Calibri;sans-serif" w:hAnsi="Calibri;sans-serif"/>
          <w:b w:val="false"/>
          <w:color w:val="000000"/>
          <w:sz w:val="21"/>
        </w:rPr>
        <w:t>All directors serving on the Board of Directors of Nasdaq, Inc. (“Directors”)</w:t>
      </w:r>
    </w:p>
    <w:p>
      <w:pPr>
        <w:pStyle w:val="TextBody"/>
        <w:bidi w:val="0"/>
        <w:spacing w:lineRule="auto" w:line="288" w:before="90" w:after="240"/>
        <w:ind w:left="0" w:right="0" w:hanging="360"/>
        <w:jc w:val="left"/>
        <w:rPr/>
      </w:pPr>
      <w:r>
        <w:rPr>
          <w:color w:val="000000"/>
        </w:rPr>
        <w:t>•</w:t>
      </w:r>
      <w:r>
        <w:rPr>
          <w:rFonts w:ascii="Calibri;sans-serif" w:hAnsi="Calibri;sans-serif"/>
          <w:b w:val="false"/>
          <w:color w:val="000000"/>
          <w:sz w:val="21"/>
        </w:rPr>
        <w:t>Nasdaq Officers with the position of Executive Vice President or higher, Nasdaq’s Controller/ Principal Accounting Officer, and any other officers designated by the Nasdaq Board of Directors as “Section 16 Officers” (“Executive Officers”)</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51155"/>
                <wp:effectExtent l="0" t="0" r="0" b="0"/>
                <wp:wrapNone/>
                <wp:docPr id="261" name="Frame2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90" w:after="283"/>
        <w:ind w:left="0" w:right="0" w:hanging="360"/>
        <w:jc w:val="left"/>
        <w:rPr/>
      </w:pPr>
      <w:r>
        <w:rPr>
          <w:color w:val="000000"/>
        </w:rPr>
        <w:t>•</w:t>
      </w:r>
      <w:r>
        <w:rPr>
          <w:rFonts w:ascii="Calibri;sans-serif" w:hAnsi="Calibri;sans-serif"/>
          <w:b w:val="false"/>
          <w:color w:val="000000"/>
          <w:sz w:val="21"/>
        </w:rPr>
        <w:t>Each Nasdaq Director’s and Executive Officer’s spouse or domestic partner, minor children, and any person whose interests the Director or Executive Officer has the legal right to represent.</w:t>
      </w:r>
    </w:p>
    <w:p>
      <w:pPr>
        <w:pStyle w:val="TextBody"/>
        <w:bidi w:val="0"/>
        <w:spacing w:before="90" w:after="283"/>
        <w:jc w:val="left"/>
        <w:rPr/>
      </w:pPr>
      <w:r>
        <w:rPr/>
      </w:r>
    </w:p>
    <w:p>
      <w:pPr>
        <w:pStyle w:val="TextBody"/>
        <w:bidi w:val="0"/>
        <w:spacing w:lineRule="auto" w:line="288" w:before="0" w:after="240"/>
        <w:ind w:left="0" w:right="0" w:hanging="360"/>
        <w:jc w:val="left"/>
        <w:rPr>
          <w:rFonts w:ascii="Calibri;sans-serif" w:hAnsi="Calibri;sans-serif"/>
          <w:b w:val="false"/>
          <w:color w:val="2E74B5"/>
          <w:sz w:val="32"/>
        </w:rPr>
      </w:pPr>
      <w:r>
        <w:rPr>
          <w:rFonts w:ascii="Calibri;sans-serif" w:hAnsi="Calibri;sans-serif"/>
          <w:b w:val="false"/>
          <w:color w:val="2E74B5"/>
          <w:sz w:val="32"/>
        </w:rPr>
        <w:t>A.Pre-Clearance of Trades and Gifts</w:t>
      </w:r>
    </w:p>
    <w:p>
      <w:pPr>
        <w:pStyle w:val="TextBody"/>
        <w:bidi w:val="0"/>
        <w:spacing w:lineRule="auto" w:line="288" w:before="90" w:after="240"/>
        <w:jc w:val="left"/>
        <w:rPr>
          <w:rFonts w:ascii="Calibri;sans-serif" w:hAnsi="Calibri;sans-serif"/>
          <w:b w:val="false"/>
          <w:color w:val="000000"/>
          <w:sz w:val="21"/>
        </w:rPr>
      </w:pPr>
      <w:r>
        <w:rPr>
          <w:rFonts w:ascii="Calibri;sans-serif" w:hAnsi="Calibri;sans-serif"/>
          <w:b w:val="false"/>
          <w:color w:val="000000"/>
          <w:sz w:val="21"/>
        </w:rPr>
        <w:t>Nasdaq has determined that all Directors and Executive Officers must receive pre- clearance before trading in NDAQ Securities, even during trading windows. Each Director and Executive Officer should email or contact the Stock Plan Administrator at least one business day prior to commencing any trade in NDAQ Securities. Nasdaq may find it necessary, from time to time, to require compliance with the pre- clearance process from certain employees, consultants, and contractors in addition to Directors and Executive Officers.</w:t>
      </w:r>
    </w:p>
    <w:p>
      <w:pPr>
        <w:pStyle w:val="TextBody"/>
        <w:bidi w:val="0"/>
        <w:spacing w:lineRule="auto" w:line="288" w:before="90" w:after="240"/>
        <w:jc w:val="left"/>
        <w:rPr>
          <w:rFonts w:ascii="Calibri;sans-serif" w:hAnsi="Calibri;sans-serif"/>
          <w:b w:val="false"/>
          <w:color w:val="000000"/>
          <w:sz w:val="21"/>
        </w:rPr>
      </w:pPr>
      <w:r>
        <w:rPr>
          <w:rFonts w:ascii="Calibri;sans-serif" w:hAnsi="Calibri;sans-serif"/>
          <w:b w:val="false"/>
          <w:color w:val="000000"/>
          <w:sz w:val="21"/>
        </w:rPr>
        <w:t>Directors and Section 16 officers also must obtain pre-clearance from the Office of General Counsel before making any gift of NDAQ securities. Once a gift is made, it must be immediately reported to Nasdaq’s OGC team to enable timely reporting to the SEC on Form 4. All gifts must be reported on Form 4 within two (2) business days.</w:t>
      </w:r>
    </w:p>
    <w:p>
      <w:pPr>
        <w:pStyle w:val="TextBody"/>
        <w:bidi w:val="0"/>
        <w:spacing w:lineRule="auto" w:line="288" w:before="90" w:after="240"/>
        <w:jc w:val="left"/>
        <w:rPr>
          <w:rFonts w:ascii="Calibri;sans-serif" w:hAnsi="Calibri;sans-serif"/>
          <w:b w:val="false"/>
          <w:color w:val="000000"/>
          <w:sz w:val="21"/>
        </w:rPr>
      </w:pPr>
      <w:r>
        <w:rPr>
          <w:rFonts w:ascii="Calibri;sans-serif" w:hAnsi="Calibri;sans-serif"/>
          <w:b w:val="false"/>
          <w:color w:val="000000"/>
          <w:sz w:val="21"/>
        </w:rPr>
        <w:t xml:space="preserve">Executive Officers and Directors subject to this Policy may not make a gift of NDAQ Securities while aware of material nonpublic information or during a closed window unless (a) the gift is made to a family member or to an entity that they or their family members control (such as a trust, foundation or other organization over which they exercise control with respect to the sale of the gifted securities), and (b) they ensure that the recipient does not sell such securities during any period when they are not permitted to sell NDAQ Securities under this Policy. </w:t>
      </w:r>
    </w:p>
    <w:p>
      <w:pPr>
        <w:pStyle w:val="TextBody"/>
        <w:bidi w:val="0"/>
        <w:spacing w:lineRule="auto" w:line="288" w:before="90" w:after="240"/>
        <w:ind w:left="0" w:right="0" w:hanging="360"/>
        <w:jc w:val="left"/>
        <w:rPr>
          <w:rFonts w:ascii="Calibri;sans-serif" w:hAnsi="Calibri;sans-serif"/>
          <w:b w:val="false"/>
          <w:color w:val="2E74B5"/>
          <w:sz w:val="32"/>
        </w:rPr>
      </w:pPr>
      <w:r>
        <w:rPr>
          <w:rFonts w:ascii="Calibri;sans-serif" w:hAnsi="Calibri;sans-serif"/>
          <w:b w:val="false"/>
          <w:color w:val="2E74B5"/>
          <w:sz w:val="32"/>
        </w:rPr>
        <w:t>B.Rule 10b5-1 Plans</w:t>
      </w:r>
    </w:p>
    <w:p>
      <w:pPr>
        <w:pStyle w:val="TextBody"/>
        <w:bidi w:val="0"/>
        <w:spacing w:lineRule="auto" w:line="288" w:before="90" w:after="240"/>
        <w:jc w:val="left"/>
        <w:rPr>
          <w:rFonts w:ascii="Calibri;sans-serif" w:hAnsi="Calibri;sans-serif"/>
          <w:b w:val="false"/>
          <w:color w:val="000000"/>
          <w:sz w:val="21"/>
        </w:rPr>
      </w:pPr>
      <w:r>
        <w:rPr>
          <w:rFonts w:ascii="Calibri;sans-serif" w:hAnsi="Calibri;sans-serif"/>
          <w:b w:val="false"/>
          <w:color w:val="000000"/>
          <w:sz w:val="21"/>
        </w:rPr>
        <w:t>Material terms of Rule 10b5-1 Plans entered into, amended or terminated by Directors and Section 16 Officers are subject to disclosure in accordance with applicable regulations.</w:t>
      </w:r>
    </w:p>
    <w:p>
      <w:pPr>
        <w:pStyle w:val="TextBody"/>
        <w:bidi w:val="0"/>
        <w:spacing w:lineRule="auto" w:line="288" w:before="90" w:after="240"/>
        <w:jc w:val="left"/>
        <w:rPr>
          <w:rFonts w:ascii="Calibri;sans-serif" w:hAnsi="Calibri;sans-serif"/>
          <w:b w:val="false"/>
          <w:color w:val="000000"/>
          <w:sz w:val="21"/>
        </w:rPr>
      </w:pPr>
      <w:r>
        <w:rPr>
          <w:rFonts w:ascii="Calibri;sans-serif" w:hAnsi="Calibri;sans-serif"/>
          <w:b w:val="false"/>
          <w:color w:val="000000"/>
          <w:sz w:val="21"/>
        </w:rPr>
        <w:t xml:space="preserve">In addition to the other provisions of this Policy related to Rule 10b5-1 plans, each Director or Executive Officer entering into a Rule 10b5-1 plan must ensure that the plan meets the requirements of Rule 10b5-1 and obtain written pre-approval from Nasdaq’s Stock Plan Administrator of the intended plan terms and conditions. A final copy of the plan and any amendments must be immediately provided to the Stock Plan Administrator to enable Nasdaq to comply with its disclosure obligations. </w:t>
      </w:r>
    </w:p>
    <w:p>
      <w:pPr>
        <w:pStyle w:val="TextBody"/>
        <w:bidi w:val="0"/>
        <w:spacing w:lineRule="auto" w:line="304" w:before="0" w:after="120"/>
        <w:ind w:left="0" w:right="0" w:hanging="360"/>
        <w:jc w:val="left"/>
        <w:rPr>
          <w:rFonts w:ascii="Calibri;sans-serif" w:hAnsi="Calibri;sans-serif"/>
          <w:b w:val="false"/>
          <w:color w:val="2E74B5"/>
          <w:sz w:val="32"/>
        </w:rPr>
      </w:pPr>
      <w:r>
        <w:rPr>
          <w:rFonts w:ascii="Calibri;sans-serif" w:hAnsi="Calibri;sans-serif"/>
          <w:b w:val="false"/>
          <w:color w:val="2E74B5"/>
          <w:sz w:val="32"/>
        </w:rPr>
        <w:t>C.Hedging and Pledging</w:t>
      </w:r>
    </w:p>
    <w:p>
      <w:pPr>
        <w:pStyle w:val="TextBody"/>
        <w:bidi w:val="0"/>
        <w:spacing w:lineRule="auto" w:line="288" w:before="90" w:after="240"/>
        <w:jc w:val="left"/>
        <w:rPr>
          <w:rFonts w:ascii="Calibri;sans-serif" w:hAnsi="Calibri;sans-serif"/>
          <w:b w:val="false"/>
          <w:color w:val="000000"/>
          <w:sz w:val="21"/>
        </w:rPr>
      </w:pPr>
      <w:r>
        <w:rPr>
          <w:rFonts w:ascii="Calibri;sans-serif" w:hAnsi="Calibri;sans-serif"/>
          <w:b w:val="false"/>
          <w:color w:val="000000"/>
          <w:sz w:val="21"/>
        </w:rPr>
        <w:t>No Director or Executive Officer of Nasdaq, Inc. is permitted to engage in securities transactions that would allow them either to insulate themselves from, or profit from, a decline in the Nasdaq stock price (with the exception of selling shares outright). This prohibited activity includes entering into hedging transactions in Nasdaq stock.</w:t>
      </w:r>
    </w:p>
    <w:p>
      <w:pPr>
        <w:pStyle w:val="TextBody"/>
        <w:bidi w:val="0"/>
        <w:spacing w:lineRule="auto" w:line="288" w:before="90" w:after="240"/>
        <w:jc w:val="left"/>
        <w:rPr>
          <w:rFonts w:ascii="Calibri;sans-serif" w:hAnsi="Calibri;sans-serif"/>
          <w:b w:val="false"/>
          <w:color w:val="000000"/>
          <w:sz w:val="21"/>
        </w:rPr>
      </w:pPr>
      <w:r>
        <w:rPr>
          <w:rFonts w:ascii="Calibri;sans-serif" w:hAnsi="Calibri;sans-serif"/>
          <w:b w:val="false"/>
          <w:color w:val="000000"/>
          <w:sz w:val="21"/>
        </w:rPr>
        <w:t>Such hedging transactions include (without limitation) short sales as well as any hedging transactions in derivative securities (e.g., puts, calls, swaps, or collars) related to NDAQ Securities.</w:t>
      </w:r>
    </w:p>
    <w:p>
      <w:pPr>
        <w:pStyle w:val="TextBody"/>
        <w:bidi w:val="0"/>
        <w:spacing w:lineRule="auto" w:line="288" w:before="90" w:after="240"/>
        <w:jc w:val="left"/>
        <w:rPr>
          <w:rFonts w:ascii="Calibri;sans-serif" w:hAnsi="Calibri;sans-serif"/>
          <w:b w:val="false"/>
          <w:color w:val="000000"/>
          <w:sz w:val="21"/>
        </w:rPr>
      </w:pPr>
      <w:r>
        <w:rPr>
          <w:rFonts w:ascii="Calibri;sans-serif" w:hAnsi="Calibri;sans-serif"/>
          <w:b w:val="false"/>
          <w:color w:val="000000"/>
          <w:sz w:val="21"/>
        </w:rPr>
        <w:t>Shares held by a Director, or Executive Officer may not be pledged, hypothecated, or otherwise encumbered (including via the holding of such shares in a margin account). The Management Compensation Committee of the Nasdaq Board retains discretion to propose a remedy to cure any existing pledged position held by a Director or Executive Officer that is in breach of this Policy.</w:t>
      </w:r>
    </w:p>
    <w:p>
      <w:pPr>
        <w:pStyle w:val="TextBody"/>
        <w:bidi w:val="0"/>
        <w:spacing w:before="90" w:after="24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51155"/>
                <wp:effectExtent l="0" t="0" r="0" b="0"/>
                <wp:wrapNone/>
                <wp:docPr id="262" name="Frame2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120"/>
        <w:ind w:left="0" w:right="0" w:hanging="360"/>
        <w:jc w:val="left"/>
        <w:rPr>
          <w:rFonts w:ascii="Calibri;sans-serif" w:hAnsi="Calibri;sans-serif"/>
          <w:b w:val="false"/>
          <w:color w:val="2E74B5"/>
          <w:sz w:val="32"/>
        </w:rPr>
      </w:pPr>
      <w:r>
        <w:rPr>
          <w:rFonts w:ascii="Calibri;sans-serif" w:hAnsi="Calibri;sans-serif"/>
          <w:b w:val="false"/>
          <w:color w:val="2E74B5"/>
          <w:sz w:val="32"/>
        </w:rPr>
        <w:t>D.Other Restrictions</w:t>
      </w:r>
    </w:p>
    <w:p>
      <w:pPr>
        <w:pStyle w:val="TextBody"/>
        <w:bidi w:val="0"/>
        <w:spacing w:lineRule="auto" w:line="288" w:before="90" w:after="240"/>
        <w:jc w:val="left"/>
        <w:rPr>
          <w:rFonts w:ascii="Calibri;sans-serif" w:hAnsi="Calibri;sans-serif"/>
          <w:b w:val="false"/>
          <w:color w:val="000000"/>
          <w:sz w:val="21"/>
        </w:rPr>
      </w:pPr>
      <w:r>
        <w:rPr>
          <w:rFonts w:ascii="Calibri;sans-serif" w:hAnsi="Calibri;sans-serif"/>
          <w:b w:val="false"/>
          <w:color w:val="000000"/>
          <w:sz w:val="21"/>
        </w:rPr>
        <w:t>From time to time, Nasdaq may preclude the trading of Nasdaq stock by all or some Directors or Executive Officers due to developments known within Nasdaq but not generally disclosed.</w:t>
      </w:r>
    </w:p>
    <w:p>
      <w:pPr>
        <w:pStyle w:val="TextBody"/>
        <w:bidi w:val="0"/>
        <w:spacing w:lineRule="auto" w:line="307" w:before="160" w:after="240"/>
        <w:ind w:left="0" w:right="0" w:hanging="720"/>
        <w:jc w:val="left"/>
        <w:rPr>
          <w:rFonts w:ascii="Calibri;sans-serif" w:hAnsi="Calibri;sans-serif"/>
          <w:b/>
          <w:color w:val="2E74B5"/>
          <w:sz w:val="32"/>
        </w:rPr>
      </w:pPr>
      <w:r>
        <w:rPr>
          <w:rFonts w:ascii="Calibri;sans-serif" w:hAnsi="Calibri;sans-serif"/>
          <w:b/>
          <w:color w:val="2E74B5"/>
          <w:sz w:val="32"/>
        </w:rPr>
        <w:t>V.Compliance Certification</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 xml:space="preserve">All Associates must confirm within thirty days of hiring and annually that they (1) are in compliance and will comply with all applicable trading policies and (2) have completely and properly disclosed, to the extent required by applicable policies, all brokerage/trading accounts and relevant trading activity. </w:t>
      </w:r>
    </w:p>
    <w:p>
      <w:pPr>
        <w:pStyle w:val="TextBody"/>
        <w:bidi w:val="0"/>
        <w:spacing w:lineRule="auto" w:line="307" w:before="0" w:after="240"/>
        <w:jc w:val="left"/>
        <w:rPr>
          <w:rFonts w:ascii="Calibri;sans-serif" w:hAnsi="Calibri;sans-serif"/>
          <w:b w:val="false"/>
          <w:color w:val="000000"/>
          <w:sz w:val="21"/>
        </w:rPr>
      </w:pPr>
      <w:r>
        <w:rPr>
          <w:rFonts w:ascii="Calibri;sans-serif" w:hAnsi="Calibri;sans-serif"/>
          <w:b w:val="false"/>
          <w:color w:val="000000"/>
          <w:sz w:val="21"/>
        </w:rPr>
        <w:t>Nasdaq may, also from time to time, require any Associate to confirm that they are in compliance with this Policy and/or other applicable policies. Nasdaq may also require documentation supporting such compliance.</w:t>
      </w:r>
    </w:p>
    <w:p>
      <w:pPr>
        <w:pStyle w:val="TextBody"/>
        <w:bidi w:val="0"/>
        <w:spacing w:lineRule="auto" w:line="307" w:before="160" w:after="240"/>
        <w:ind w:left="0" w:right="0" w:hanging="720"/>
        <w:jc w:val="left"/>
        <w:rPr>
          <w:rFonts w:ascii="Calibri;sans-serif" w:hAnsi="Calibri;sans-serif"/>
          <w:b/>
          <w:color w:val="2E74B5"/>
          <w:sz w:val="32"/>
        </w:rPr>
      </w:pPr>
      <w:r>
        <w:rPr>
          <w:rFonts w:ascii="Calibri;sans-serif" w:hAnsi="Calibri;sans-serif"/>
          <w:b/>
          <w:color w:val="2E74B5"/>
          <w:sz w:val="32"/>
        </w:rPr>
        <w:t>VI.Seeking Guidance and Reporting Concerns</w:t>
      </w:r>
    </w:p>
    <w:p>
      <w:pPr>
        <w:pStyle w:val="TextBody"/>
        <w:bidi w:val="0"/>
        <w:spacing w:lineRule="auto" w:line="307" w:before="0" w:after="120"/>
        <w:jc w:val="left"/>
        <w:rPr/>
      </w:pPr>
      <w:r>
        <w:rPr>
          <w:rFonts w:ascii="Calibri;sans-serif" w:hAnsi="Calibri;sans-serif"/>
          <w:b w:val="false"/>
          <w:color w:val="000000"/>
          <w:sz w:val="21"/>
        </w:rPr>
        <w:t xml:space="preserve">Associates are expected seek guidance in advance of taking action whenever application of this Policy is unclear. Associates are expected to fully cooperate with any internal, law enforcement, or regulatory investigation as appropriate and in accordance with all applicable laws. Questions or requests for guidance should be directed to the relevant </w:t>
      </w:r>
      <w:r>
        <w:rPr>
          <w:rFonts w:ascii="Calibri;sans-serif" w:hAnsi="Calibri;sans-serif"/>
          <w:b w:val="false"/>
          <w:color w:val="0563C1"/>
          <w:sz w:val="21"/>
          <w:u w:val="single"/>
        </w:rPr>
        <w:t>Guidance and Reporting Channels</w:t>
      </w:r>
      <w:r>
        <w:rPr>
          <w:color w:val="000000"/>
        </w:rPr>
        <w:t xml:space="preserve"> </w:t>
      </w:r>
      <w:r>
        <w:rPr>
          <w:rFonts w:ascii="Calibri;sans-serif" w:hAnsi="Calibri;sans-serif"/>
          <w:b w:val="false"/>
          <w:color w:val="000000"/>
          <w:sz w:val="21"/>
        </w:rPr>
        <w:t>set forth in the Nasdaq Code of Ethics.</w:t>
      </w:r>
    </w:p>
    <w:p>
      <w:pPr>
        <w:pStyle w:val="TextBody"/>
        <w:bidi w:val="0"/>
        <w:spacing w:lineRule="auto" w:line="307" w:before="0" w:after="120"/>
        <w:jc w:val="left"/>
        <w:rPr/>
      </w:pPr>
      <w:r>
        <w:rPr>
          <w:rFonts w:ascii="Calibri;sans-serif" w:hAnsi="Calibri;sans-serif"/>
          <w:b w:val="false"/>
          <w:color w:val="000000"/>
          <w:sz w:val="21"/>
        </w:rPr>
        <w:t xml:space="preserve">As detailed in the Code of Ethics, Associates are required to report any suspicious activities and violations of Nasdaq policies or the law related to Nasdaq’s business that they observe or reasonably suspect or that are reported to the Associate by a colleague, customer, supplier, or third party. Reports can be made through the </w:t>
      </w:r>
      <w:r>
        <w:rPr>
          <w:rFonts w:ascii="Calibri;sans-serif" w:hAnsi="Calibri;sans-serif"/>
          <w:b w:val="false"/>
          <w:color w:val="0563C1"/>
          <w:sz w:val="21"/>
          <w:u w:val="single"/>
        </w:rPr>
        <w:t>Guidance and Reporting Channels</w:t>
      </w:r>
      <w:r>
        <w:rPr>
          <w:color w:val="000000"/>
        </w:rPr>
        <w:t xml:space="preserve"> </w:t>
      </w:r>
      <w:r>
        <w:rPr>
          <w:rFonts w:ascii="Calibri;sans-serif" w:hAnsi="Calibri;sans-serif"/>
          <w:b w:val="false"/>
          <w:color w:val="000000"/>
          <w:sz w:val="21"/>
        </w:rPr>
        <w:t xml:space="preserve">set forth in the Code of Ethics. </w:t>
      </w:r>
    </w:p>
    <w:p>
      <w:pPr>
        <w:pStyle w:val="TextBody"/>
        <w:bidi w:val="0"/>
        <w:spacing w:before="0" w:after="240"/>
        <w:jc w:val="left"/>
        <w:rPr/>
      </w:pPr>
      <w:r>
        <w:rPr/>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72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21.1</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51155"/>
                <wp:effectExtent l="0" t="0" r="0" b="0"/>
                <wp:wrapNone/>
                <wp:docPr id="263" name="Frame2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center"/>
        <w:rPr/>
      </w:pPr>
      <w:r>
        <w:rPr/>
      </w:r>
    </w:p>
    <w:p>
      <w:pPr>
        <w:pStyle w:val="TextBody"/>
        <w:bidi w:val="0"/>
        <w:spacing w:lineRule="auto" w:line="288" w:before="0" w:after="0"/>
        <w:ind w:left="0" w:right="0" w:hanging="72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Subsidiaries of Nasdaq, Inc.*</w:t>
      </w:r>
    </w:p>
    <w:p>
      <w:pPr>
        <w:pStyle w:val="TextBody"/>
        <w:bidi w:val="0"/>
        <w:spacing w:lineRule="auto" w:line="288" w:before="0" w:after="0"/>
        <w:ind w:left="0" w:right="0" w:hanging="72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 of February 15, 2025</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 Entities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Adenza,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BoardVantage,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Boston Stock Exchange Clearing Corporation (organized in Massachusetts)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Content Services,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Curzon Street Acquisition,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w:t>
      </w:r>
      <w:r>
        <w:rPr>
          <w:rFonts w:ascii="Times New Roman;sans-serif" w:hAnsi="Times New Roman;sans-serif"/>
          <w:b w:val="false"/>
          <w:color w:val="000000"/>
          <w:sz w:val="20"/>
        </w:rPr>
        <w:t>Directors Desk,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7.</w:t>
      </w:r>
      <w:r>
        <w:rPr>
          <w:rFonts w:ascii="Times New Roman;sans-serif" w:hAnsi="Times New Roman;sans-serif"/>
          <w:b w:val="false"/>
          <w:color w:val="000000"/>
          <w:sz w:val="20"/>
        </w:rPr>
        <w:t>Dorsey, Wright &amp; Associates, LLC (organized in Virginia)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8.</w:t>
      </w:r>
      <w:r>
        <w:rPr>
          <w:rFonts w:ascii="Times New Roman;sans-serif" w:hAnsi="Times New Roman;sans-serif"/>
          <w:b w:val="false"/>
          <w:color w:val="000000"/>
          <w:sz w:val="20"/>
        </w:rPr>
        <w:t>eVestment Alliance,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9.</w:t>
      </w:r>
      <w:r>
        <w:rPr>
          <w:rFonts w:ascii="Times New Roman;sans-serif" w:hAnsi="Times New Roman;sans-serif"/>
          <w:b w:val="false"/>
          <w:color w:val="000000"/>
          <w:sz w:val="20"/>
        </w:rPr>
        <w:t>eVestment,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10.</w:t>
      </w:r>
      <w:r>
        <w:rPr>
          <w:rFonts w:ascii="Times New Roman;sans-serif" w:hAnsi="Times New Roman;sans-serif"/>
          <w:b w:val="false"/>
          <w:color w:val="000000"/>
          <w:sz w:val="20"/>
        </w:rPr>
        <w:t>FINRA/Nasdaq Trade Reporting Facility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11.</w:t>
      </w:r>
      <w:r>
        <w:rPr>
          <w:rFonts w:ascii="Times New Roman;sans-serif" w:hAnsi="Times New Roman;sans-serif"/>
          <w:b w:val="false"/>
          <w:color w:val="000000"/>
          <w:sz w:val="20"/>
        </w:rPr>
        <w:t>FRAMLxchange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12.</w:t>
      </w:r>
      <w:r>
        <w:rPr>
          <w:rFonts w:ascii="Times New Roman;sans-serif" w:hAnsi="Times New Roman;sans-serif"/>
          <w:b w:val="false"/>
          <w:color w:val="000000"/>
          <w:sz w:val="20"/>
        </w:rPr>
        <w:t>FTEN,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13.</w:t>
      </w:r>
      <w:r>
        <w:rPr>
          <w:rFonts w:ascii="Times New Roman;sans-serif" w:hAnsi="Times New Roman;sans-serif"/>
          <w:b w:val="false"/>
          <w:color w:val="000000"/>
          <w:sz w:val="20"/>
        </w:rPr>
        <w:t>Granite Redux,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14.</w:t>
      </w:r>
      <w:r>
        <w:rPr>
          <w:rFonts w:ascii="Times New Roman;sans-serif" w:hAnsi="Times New Roman;sans-serif"/>
          <w:b w:val="false"/>
          <w:color w:val="000000"/>
          <w:sz w:val="20"/>
        </w:rPr>
        <w:t>GraniteBlock,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15.</w:t>
      </w:r>
      <w:r>
        <w:rPr>
          <w:rFonts w:ascii="Times New Roman;sans-serif" w:hAnsi="Times New Roman;sans-serif"/>
          <w:b w:val="false"/>
          <w:color w:val="000000"/>
          <w:sz w:val="20"/>
        </w:rPr>
        <w:t>International Securities Exchange Holdings,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16.</w:t>
      </w:r>
      <w:r>
        <w:rPr>
          <w:rFonts w:ascii="Times New Roman;sans-serif" w:hAnsi="Times New Roman;sans-serif"/>
          <w:b w:val="false"/>
          <w:color w:val="000000"/>
          <w:sz w:val="20"/>
        </w:rPr>
        <w:t>Longitude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17.</w:t>
      </w:r>
      <w:r>
        <w:rPr>
          <w:rFonts w:ascii="Times New Roman;sans-serif" w:hAnsi="Times New Roman;sans-serif"/>
          <w:b w:val="false"/>
          <w:color w:val="000000"/>
          <w:sz w:val="20"/>
        </w:rPr>
        <w:t>Nasdaq BX,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18.</w:t>
      </w:r>
      <w:r>
        <w:rPr>
          <w:rFonts w:ascii="Times New Roman;sans-serif" w:hAnsi="Times New Roman;sans-serif"/>
          <w:b w:val="false"/>
          <w:color w:val="000000"/>
          <w:sz w:val="20"/>
        </w:rPr>
        <w:t>Nasdaq Capital Markets Advisory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19.</w:t>
      </w:r>
      <w:r>
        <w:rPr>
          <w:rFonts w:ascii="Times New Roman;sans-serif" w:hAnsi="Times New Roman;sans-serif"/>
          <w:b w:val="false"/>
          <w:color w:val="000000"/>
          <w:sz w:val="20"/>
        </w:rPr>
        <w:t>Nasdaq Corporate Services,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20.</w:t>
      </w:r>
      <w:r>
        <w:rPr>
          <w:rFonts w:ascii="Times New Roman;sans-serif" w:hAnsi="Times New Roman;sans-serif"/>
          <w:b w:val="false"/>
          <w:color w:val="000000"/>
          <w:sz w:val="20"/>
        </w:rPr>
        <w:t>Nasdaq Corporate Solutions,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21.</w:t>
      </w:r>
      <w:r>
        <w:rPr>
          <w:rFonts w:ascii="Times New Roman;sans-serif" w:hAnsi="Times New Roman;sans-serif"/>
          <w:b w:val="false"/>
          <w:color w:val="000000"/>
          <w:sz w:val="20"/>
        </w:rPr>
        <w:t>Nasdaq Digital Asset Holdings,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22.</w:t>
      </w:r>
      <w:r>
        <w:rPr>
          <w:rFonts w:ascii="Times New Roman;sans-serif" w:hAnsi="Times New Roman;sans-serif"/>
          <w:b w:val="false"/>
          <w:color w:val="000000"/>
          <w:sz w:val="20"/>
        </w:rPr>
        <w:t>NASDAQ Energy Futures,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23.</w:t>
      </w:r>
      <w:r>
        <w:rPr>
          <w:rFonts w:ascii="Times New Roman;sans-serif" w:hAnsi="Times New Roman;sans-serif"/>
          <w:b w:val="false"/>
          <w:color w:val="000000"/>
          <w:sz w:val="20"/>
        </w:rPr>
        <w:t>Nasdaq Execution Services,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24.</w:t>
      </w:r>
      <w:r>
        <w:rPr>
          <w:rFonts w:ascii="Times New Roman;sans-serif" w:hAnsi="Times New Roman;sans-serif"/>
          <w:b w:val="false"/>
          <w:color w:val="000000"/>
          <w:sz w:val="20"/>
        </w:rPr>
        <w:t>NASDAQ Futures,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25.</w:t>
      </w:r>
      <w:r>
        <w:rPr>
          <w:rFonts w:ascii="Times New Roman;sans-serif" w:hAnsi="Times New Roman;sans-serif"/>
          <w:b w:val="false"/>
          <w:color w:val="000000"/>
          <w:sz w:val="20"/>
        </w:rPr>
        <w:t>Nasdaq GEMX,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26.</w:t>
      </w:r>
      <w:r>
        <w:rPr>
          <w:rFonts w:ascii="Times New Roman;sans-serif" w:hAnsi="Times New Roman;sans-serif"/>
          <w:b w:val="false"/>
          <w:color w:val="000000"/>
          <w:sz w:val="20"/>
        </w:rPr>
        <w:t>NASDAQ Global,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27.</w:t>
      </w:r>
      <w:r>
        <w:rPr>
          <w:rFonts w:ascii="Times New Roman;sans-serif" w:hAnsi="Times New Roman;sans-serif"/>
          <w:b w:val="false"/>
          <w:color w:val="000000"/>
          <w:sz w:val="20"/>
        </w:rPr>
        <w:t>Nasdaq Governance Solutions,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28.</w:t>
      </w:r>
      <w:r>
        <w:rPr>
          <w:rFonts w:ascii="Times New Roman;sans-serif" w:hAnsi="Times New Roman;sans-serif"/>
          <w:b w:val="false"/>
          <w:color w:val="000000"/>
          <w:sz w:val="20"/>
        </w:rPr>
        <w:t>Nasdaq Information,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29.</w:t>
      </w:r>
      <w:r>
        <w:rPr>
          <w:rFonts w:ascii="Times New Roman;sans-serif" w:hAnsi="Times New Roman;sans-serif"/>
          <w:b w:val="false"/>
          <w:color w:val="000000"/>
          <w:sz w:val="20"/>
        </w:rPr>
        <w:t>Nasdaq ISE,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30.</w:t>
      </w:r>
      <w:r>
        <w:rPr>
          <w:rFonts w:ascii="Times New Roman;sans-serif" w:hAnsi="Times New Roman;sans-serif"/>
          <w:b w:val="false"/>
          <w:color w:val="000000"/>
          <w:sz w:val="20"/>
        </w:rPr>
        <w:t>Nasdaq MRX,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31.</w:t>
      </w:r>
      <w:r>
        <w:rPr>
          <w:rFonts w:ascii="Times New Roman;sans-serif" w:hAnsi="Times New Roman;sans-serif"/>
          <w:b w:val="false"/>
          <w:color w:val="000000"/>
          <w:sz w:val="20"/>
        </w:rPr>
        <w:t>Nasdaq PHLX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32.</w:t>
      </w:r>
      <w:r>
        <w:rPr>
          <w:rFonts w:ascii="Times New Roman;sans-serif" w:hAnsi="Times New Roman;sans-serif"/>
          <w:b w:val="false"/>
          <w:color w:val="000000"/>
          <w:sz w:val="20"/>
        </w:rPr>
        <w:t>Nasdaq SB Holdings,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33.</w:t>
      </w:r>
      <w:r>
        <w:rPr>
          <w:rFonts w:ascii="Times New Roman;sans-serif" w:hAnsi="Times New Roman;sans-serif"/>
          <w:b w:val="false"/>
          <w:color w:val="000000"/>
          <w:sz w:val="20"/>
        </w:rPr>
        <w:t>Nasdaq Technology Services,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34.</w:t>
      </w:r>
      <w:r>
        <w:rPr>
          <w:rFonts w:ascii="Times New Roman;sans-serif" w:hAnsi="Times New Roman;sans-serif"/>
          <w:b w:val="false"/>
          <w:color w:val="000000"/>
          <w:sz w:val="20"/>
        </w:rPr>
        <w:t>NFSTX,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35.</w:t>
      </w:r>
      <w:r>
        <w:rPr>
          <w:rFonts w:ascii="Times New Roman;sans-serif" w:hAnsi="Times New Roman;sans-serif"/>
          <w:b w:val="false"/>
          <w:color w:val="000000"/>
          <w:sz w:val="20"/>
        </w:rPr>
        <w:t>OneReport,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36.</w:t>
      </w:r>
      <w:r>
        <w:rPr>
          <w:rFonts w:ascii="Times New Roman;sans-serif" w:hAnsi="Times New Roman;sans-serif"/>
          <w:b w:val="false"/>
          <w:color w:val="000000"/>
          <w:sz w:val="20"/>
        </w:rPr>
        <w:t>Operations &amp; Compliance Network,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37.</w:t>
      </w:r>
      <w:r>
        <w:rPr>
          <w:rFonts w:ascii="Times New Roman;sans-serif" w:hAnsi="Times New Roman;sans-serif"/>
          <w:b w:val="false"/>
          <w:color w:val="000000"/>
          <w:sz w:val="20"/>
        </w:rPr>
        <w:t>QDiligence LLC (organized in Illinois)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38.</w:t>
      </w:r>
      <w:r>
        <w:rPr>
          <w:rFonts w:ascii="Times New Roman;sans-serif" w:hAnsi="Times New Roman;sans-serif"/>
          <w:b w:val="false"/>
          <w:color w:val="000000"/>
          <w:sz w:val="20"/>
        </w:rPr>
        <w:t>Solovis,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39.</w:t>
      </w:r>
      <w:r>
        <w:rPr>
          <w:rFonts w:ascii="Times New Roman;sans-serif" w:hAnsi="Times New Roman;sans-serif"/>
          <w:b w:val="false"/>
          <w:color w:val="000000"/>
          <w:sz w:val="20"/>
        </w:rPr>
        <w:t>Stock Clearing Corporation of Philadelphia (organized in Pennsylvania)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40.</w:t>
      </w:r>
      <w:r>
        <w:rPr>
          <w:rFonts w:ascii="Times New Roman;sans-serif" w:hAnsi="Times New Roman;sans-serif"/>
          <w:b w:val="false"/>
          <w:color w:val="000000"/>
          <w:sz w:val="20"/>
        </w:rPr>
        <w:t>Strategic Financial Solutions, LLC (organized in Nevada)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41.</w:t>
      </w:r>
      <w:r>
        <w:rPr>
          <w:rFonts w:ascii="Times New Roman;sans-serif" w:hAnsi="Times New Roman;sans-serif"/>
          <w:b w:val="false"/>
          <w:color w:val="000000"/>
          <w:sz w:val="20"/>
        </w:rPr>
        <w:t>Sybenetix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42.</w:t>
      </w:r>
      <w:r>
        <w:rPr>
          <w:rFonts w:ascii="Times New Roman;sans-serif" w:hAnsi="Times New Roman;sans-serif"/>
          <w:b w:val="false"/>
          <w:color w:val="000000"/>
          <w:sz w:val="20"/>
        </w:rPr>
        <w:t>The Center for Board Evaluation, Inc. (organized in North Carolina)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43.</w:t>
      </w:r>
      <w:r>
        <w:rPr>
          <w:rFonts w:ascii="Times New Roman;sans-serif" w:hAnsi="Times New Roman;sans-serif"/>
          <w:b w:val="false"/>
          <w:color w:val="000000"/>
          <w:sz w:val="20"/>
        </w:rPr>
        <w:t>The Nasdaq Options Market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44.</w:t>
      </w:r>
      <w:r>
        <w:rPr>
          <w:rFonts w:ascii="Times New Roman;sans-serif" w:hAnsi="Times New Roman;sans-serif"/>
          <w:b w:val="false"/>
          <w:color w:val="000000"/>
          <w:sz w:val="20"/>
        </w:rPr>
        <w:t>The Nasdaq Stock Market LLC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45.</w:t>
      </w:r>
      <w:r>
        <w:rPr>
          <w:rFonts w:ascii="Times New Roman;sans-serif" w:hAnsi="Times New Roman;sans-serif"/>
          <w:b w:val="false"/>
          <w:color w:val="000000"/>
          <w:sz w:val="20"/>
        </w:rPr>
        <w:t>U.S. Exchange Holdings, Inc. (organized in Delaware)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46.</w:t>
      </w:r>
      <w:r>
        <w:rPr>
          <w:rFonts w:ascii="Times New Roman;sans-serif" w:hAnsi="Times New Roman;sans-serif"/>
          <w:b w:val="false"/>
          <w:color w:val="000000"/>
          <w:sz w:val="20"/>
        </w:rPr>
        <w:t>Verafin AcquisitionCo LLC (organized in Delaware)</w:t>
      </w:r>
    </w:p>
    <w:p>
      <w:pPr>
        <w:pStyle w:val="TextBody"/>
        <w:bidi w:val="0"/>
        <w:spacing w:lineRule="auto" w:line="288"/>
        <w:ind w:left="0" w:right="0" w:hanging="360"/>
        <w:jc w:val="left"/>
        <w:rPr/>
      </w:pPr>
      <w:r>
        <w:rPr>
          <w:rFonts w:ascii="Times New Roman;sans-serif" w:hAnsi="Times New Roman;sans-serif"/>
          <w:b w:val="false"/>
          <w:color w:val="000000"/>
          <w:sz w:val="20"/>
        </w:rPr>
        <w:t>47.</w:t>
      </w:r>
      <w:r>
        <w:rPr>
          <w:rFonts w:ascii="Times New Roman;sans-serif" w:hAnsi="Times New Roman;sans-serif"/>
          <w:b w:val="false"/>
          <w:color w:val="000000"/>
          <w:sz w:val="20"/>
        </w:rPr>
        <w:t>Verafin USA Inc. (organized in Delaware)</w:t>
      </w:r>
    </w:p>
    <w:p>
      <w:pPr>
        <w:pStyle w:val="TextBody"/>
        <w:bidi w:val="0"/>
        <w:spacing w:lineRule="auto" w:line="288" w:before="0" w:after="0"/>
        <w:ind w:left="0" w:right="0" w:hanging="72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21.1</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Non-U.S. Subsidiaries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AB Nasdaq Vilnius (organized in Lithuania)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Adenza Australia Pty Ltd. (organized in Australia)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Adenza Brasil Ltda (organized in Brazil)</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Adenza Chile SpA (organized in Chile)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Adenza Colombia S.A.S. (organized in Colombia)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w:t>
      </w:r>
      <w:r>
        <w:rPr>
          <w:rFonts w:ascii="Times New Roman;sans-serif" w:hAnsi="Times New Roman;sans-serif"/>
          <w:b w:val="false"/>
          <w:color w:val="000000"/>
          <w:sz w:val="20"/>
        </w:rPr>
        <w:t>Adenza Georgia LLC (organized in Georgia)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7.</w:t>
      </w:r>
      <w:r>
        <w:rPr>
          <w:rFonts w:ascii="Times New Roman;sans-serif" w:hAnsi="Times New Roman;sans-serif"/>
          <w:b w:val="false"/>
          <w:color w:val="000000"/>
          <w:sz w:val="20"/>
        </w:rPr>
        <w:t>Adenza India Private Ltd. (organized in India)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8.</w:t>
      </w:r>
      <w:r>
        <w:rPr>
          <w:rFonts w:ascii="Times New Roman;sans-serif" w:hAnsi="Times New Roman;sans-serif"/>
          <w:b w:val="false"/>
          <w:color w:val="000000"/>
          <w:sz w:val="20"/>
        </w:rPr>
        <w:t>Adenza Ireland Ltd. (organized in Ireland)</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9.</w:t>
      </w:r>
      <w:r>
        <w:rPr>
          <w:rFonts w:ascii="Times New Roman;sans-serif" w:hAnsi="Times New Roman;sans-serif"/>
          <w:b w:val="false"/>
          <w:color w:val="000000"/>
          <w:sz w:val="20"/>
        </w:rPr>
        <w:t>Adenza Israel Ltd. (organized in Israel)</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10.</w:t>
      </w:r>
      <w:r>
        <w:rPr>
          <w:rFonts w:ascii="Times New Roman;sans-serif" w:hAnsi="Times New Roman;sans-serif"/>
          <w:b w:val="false"/>
          <w:color w:val="000000"/>
          <w:sz w:val="20"/>
        </w:rPr>
        <w:t>Adenza Ltd. (organized in the United Kingdom)</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11.</w:t>
      </w:r>
      <w:r>
        <w:rPr>
          <w:rFonts w:ascii="Times New Roman;sans-serif" w:hAnsi="Times New Roman;sans-serif"/>
          <w:b w:val="false"/>
          <w:color w:val="000000"/>
          <w:sz w:val="20"/>
        </w:rPr>
        <w:t>Adenza Netherlands B.V. (organized in the Netherlands)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12.</w:t>
      </w:r>
      <w:r>
        <w:rPr>
          <w:rFonts w:ascii="Times New Roman;sans-serif" w:hAnsi="Times New Roman;sans-serif"/>
          <w:b w:val="false"/>
          <w:color w:val="000000"/>
          <w:sz w:val="20"/>
        </w:rPr>
        <w:t>ADENZA POLAND SOO SPOLKA Z OGRANICZONA ODPOWIEDZIALNOSCIA (organized in Poland)</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13.</w:t>
      </w:r>
      <w:r>
        <w:rPr>
          <w:rFonts w:ascii="Times New Roman;sans-serif" w:hAnsi="Times New Roman;sans-serif"/>
          <w:b w:val="false"/>
          <w:color w:val="000000"/>
          <w:sz w:val="20"/>
        </w:rPr>
        <w:t>Adenza Portugal S.A. (organized in Portugal)</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14.</w:t>
      </w:r>
      <w:r>
        <w:rPr>
          <w:rFonts w:ascii="Times New Roman;sans-serif" w:hAnsi="Times New Roman;sans-serif"/>
          <w:b w:val="false"/>
          <w:color w:val="000000"/>
          <w:sz w:val="20"/>
        </w:rPr>
        <w:t>Adenza Singapore Pte. Ltd. (organized in Singapore)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15.</w:t>
      </w:r>
      <w:r>
        <w:rPr>
          <w:rFonts w:ascii="Times New Roman;sans-serif" w:hAnsi="Times New Roman;sans-serif"/>
          <w:b w:val="false"/>
          <w:color w:val="000000"/>
          <w:sz w:val="20"/>
        </w:rPr>
        <w:t>Adenza Spain S.L. (organized in Spain)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16.</w:t>
      </w:r>
      <w:r>
        <w:rPr>
          <w:rFonts w:ascii="Times New Roman;sans-serif" w:hAnsi="Times New Roman;sans-serif"/>
          <w:b w:val="false"/>
          <w:color w:val="000000"/>
          <w:sz w:val="20"/>
        </w:rPr>
        <w:t>Adenza Technology (DIFC) Ltd. (organized in Dubai)</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17.</w:t>
      </w:r>
      <w:r>
        <w:rPr>
          <w:rFonts w:ascii="Times New Roman;sans-serif" w:hAnsi="Times New Roman;sans-serif"/>
          <w:b w:val="false"/>
          <w:color w:val="000000"/>
          <w:sz w:val="20"/>
        </w:rPr>
        <w:t>Adenza Technology de Mexico, S. de R.L. de C.V. (organized in Mexico)</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18.</w:t>
      </w:r>
      <w:r>
        <w:rPr>
          <w:rFonts w:ascii="Times New Roman;sans-serif" w:hAnsi="Times New Roman;sans-serif"/>
          <w:b w:val="false"/>
          <w:color w:val="000000"/>
          <w:sz w:val="20"/>
        </w:rPr>
        <w:t>AS Pensionikeskus AS (organized in Estonia)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19.</w:t>
      </w:r>
      <w:r>
        <w:rPr>
          <w:rFonts w:ascii="Times New Roman;sans-serif" w:hAnsi="Times New Roman;sans-serif"/>
          <w:b w:val="false"/>
          <w:color w:val="000000"/>
          <w:sz w:val="20"/>
        </w:rPr>
        <w:t>Axioma SD, Ltd. (organized in Russia)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20.</w:t>
      </w:r>
      <w:r>
        <w:rPr>
          <w:rFonts w:ascii="Times New Roman;sans-serif" w:hAnsi="Times New Roman;sans-serif"/>
          <w:b w:val="false"/>
          <w:color w:val="000000"/>
          <w:sz w:val="20"/>
        </w:rPr>
        <w:t>AxiomSL Holdings B.V. (organized in the Netherlands)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21.</w:t>
      </w:r>
      <w:r>
        <w:rPr>
          <w:rFonts w:ascii="Times New Roman;sans-serif" w:hAnsi="Times New Roman;sans-serif"/>
          <w:b w:val="false"/>
          <w:color w:val="000000"/>
          <w:sz w:val="20"/>
        </w:rPr>
        <w:t>AxiomSL Ltd. (UK) (organized in the United Kingdom)</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22.</w:t>
      </w:r>
      <w:r>
        <w:rPr>
          <w:rFonts w:ascii="Times New Roman;sans-serif" w:hAnsi="Times New Roman;sans-serif"/>
          <w:b w:val="false"/>
          <w:color w:val="000000"/>
          <w:sz w:val="20"/>
        </w:rPr>
        <w:t>Calypso Software (Beijing) Co Ltd. (organized in China)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23.</w:t>
      </w:r>
      <w:r>
        <w:rPr>
          <w:rFonts w:ascii="Times New Roman;sans-serif" w:hAnsi="Times New Roman;sans-serif"/>
          <w:b w:val="false"/>
          <w:color w:val="000000"/>
          <w:sz w:val="20"/>
        </w:rPr>
        <w:t>Calypso Technology Pte. Ltd. (organized in Singapore)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24.</w:t>
      </w:r>
      <w:r>
        <w:rPr>
          <w:rFonts w:ascii="Times New Roman;sans-serif" w:hAnsi="Times New Roman;sans-serif"/>
          <w:b w:val="false"/>
          <w:color w:val="000000"/>
          <w:sz w:val="20"/>
        </w:rPr>
        <w:t>Cinnober Financial Technology AB (organized in Sweden)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25.</w:t>
      </w:r>
      <w:r>
        <w:rPr>
          <w:rFonts w:ascii="Times New Roman;sans-serif" w:hAnsi="Times New Roman;sans-serif"/>
          <w:b w:val="false"/>
          <w:color w:val="000000"/>
          <w:sz w:val="20"/>
        </w:rPr>
        <w:t>Curzon Street Holdings Limited (organized in the United Kingdom)</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26.</w:t>
      </w:r>
      <w:r>
        <w:rPr>
          <w:rFonts w:ascii="Times New Roman;sans-serif" w:hAnsi="Times New Roman;sans-serif"/>
          <w:b w:val="false"/>
          <w:color w:val="000000"/>
          <w:sz w:val="20"/>
        </w:rPr>
        <w:t>Ensoleillement Inc. (organized in Canada)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27.</w:t>
      </w:r>
      <w:r>
        <w:rPr>
          <w:rFonts w:ascii="Times New Roman;sans-serif" w:hAnsi="Times New Roman;sans-serif"/>
          <w:b w:val="false"/>
          <w:color w:val="000000"/>
          <w:sz w:val="20"/>
        </w:rPr>
        <w:t>eVestment Alliance (UK) Limited (organized in the United Kingdom)</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28.</w:t>
      </w:r>
      <w:r>
        <w:rPr>
          <w:rFonts w:ascii="Times New Roman;sans-serif" w:hAnsi="Times New Roman;sans-serif"/>
          <w:b w:val="false"/>
          <w:color w:val="000000"/>
          <w:sz w:val="20"/>
        </w:rPr>
        <w:t>eVestment Alliance Australia Pty Ltd (organized in Australia)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29.</w:t>
      </w:r>
      <w:r>
        <w:rPr>
          <w:rFonts w:ascii="Times New Roman;sans-serif" w:hAnsi="Times New Roman;sans-serif"/>
          <w:b w:val="false"/>
          <w:color w:val="000000"/>
          <w:sz w:val="20"/>
        </w:rPr>
        <w:t>Indxis Ltd (organized in the United Kingdom)</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30.</w:t>
      </w:r>
      <w:r>
        <w:rPr>
          <w:rFonts w:ascii="Times New Roman;sans-serif" w:hAnsi="Times New Roman;sans-serif"/>
          <w:b w:val="false"/>
          <w:color w:val="000000"/>
          <w:sz w:val="20"/>
        </w:rPr>
        <w:t>Metrio Software Inc. (organized in Quebec)</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31.</w:t>
      </w:r>
      <w:r>
        <w:rPr>
          <w:rFonts w:ascii="Times New Roman;sans-serif" w:hAnsi="Times New Roman;sans-serif"/>
          <w:b w:val="false"/>
          <w:color w:val="000000"/>
          <w:sz w:val="20"/>
        </w:rPr>
        <w:t>Nasdaq (Asia Pacific) Pte. Ltd. (organized in Singapore)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32.</w:t>
      </w:r>
      <w:r>
        <w:rPr>
          <w:rFonts w:ascii="Times New Roman;sans-serif" w:hAnsi="Times New Roman;sans-serif"/>
          <w:b w:val="false"/>
          <w:color w:val="000000"/>
          <w:sz w:val="20"/>
        </w:rPr>
        <w:t>Nasdaq AB (organized in Sweden)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33.</w:t>
      </w:r>
      <w:r>
        <w:rPr>
          <w:rFonts w:ascii="Times New Roman;sans-serif" w:hAnsi="Times New Roman;sans-serif"/>
          <w:b w:val="false"/>
          <w:color w:val="000000"/>
          <w:sz w:val="20"/>
        </w:rPr>
        <w:t>Nasdaq Arabia Limited (organized in Saudi Arabia)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34.</w:t>
      </w:r>
      <w:r>
        <w:rPr>
          <w:rFonts w:ascii="Times New Roman;sans-serif" w:hAnsi="Times New Roman;sans-serif"/>
          <w:b w:val="false"/>
          <w:color w:val="000000"/>
          <w:sz w:val="20"/>
        </w:rPr>
        <w:t>Nasdaq Australia Holding Pty Ltd (organized in Australia)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35.</w:t>
      </w:r>
      <w:r>
        <w:rPr>
          <w:rFonts w:ascii="Times New Roman;sans-serif" w:hAnsi="Times New Roman;sans-serif"/>
          <w:b w:val="false"/>
          <w:color w:val="000000"/>
          <w:sz w:val="20"/>
        </w:rPr>
        <w:t>NASDAQ Canada Inc. (organized in Canada)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36.</w:t>
      </w:r>
      <w:r>
        <w:rPr>
          <w:rFonts w:ascii="Times New Roman;sans-serif" w:hAnsi="Times New Roman;sans-serif"/>
          <w:b w:val="false"/>
          <w:color w:val="000000"/>
          <w:sz w:val="20"/>
        </w:rPr>
        <w:t>Nasdaq Clearing AB (organized in Sweden)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37.</w:t>
      </w:r>
      <w:r>
        <w:rPr>
          <w:rFonts w:ascii="Times New Roman;sans-serif" w:hAnsi="Times New Roman;sans-serif"/>
          <w:b w:val="false"/>
          <w:color w:val="000000"/>
          <w:sz w:val="20"/>
        </w:rPr>
        <w:t>Nasdaq Copenhagen A/S (organized in Denmark)</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38.</w:t>
      </w:r>
      <w:r>
        <w:rPr>
          <w:rFonts w:ascii="Times New Roman;sans-serif" w:hAnsi="Times New Roman;sans-serif"/>
          <w:b w:val="false"/>
          <w:color w:val="000000"/>
          <w:sz w:val="20"/>
        </w:rPr>
        <w:t>Nasdaq Corporate Solutions (India) Private Limited (organized in India)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39.</w:t>
      </w:r>
      <w:r>
        <w:rPr>
          <w:rFonts w:ascii="Times New Roman;sans-serif" w:hAnsi="Times New Roman;sans-serif"/>
          <w:b w:val="false"/>
          <w:color w:val="000000"/>
          <w:sz w:val="20"/>
        </w:rPr>
        <w:t>Nasdaq Corporate Solutions International Limited (organized in the United Kingdom)</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40.</w:t>
      </w:r>
      <w:r>
        <w:rPr>
          <w:rFonts w:ascii="Times New Roman;sans-serif" w:hAnsi="Times New Roman;sans-serif"/>
          <w:b w:val="false"/>
          <w:color w:val="000000"/>
          <w:sz w:val="20"/>
        </w:rPr>
        <w:t>Nasdaq CSD SE (organized in Latvia)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41.</w:t>
      </w:r>
      <w:r>
        <w:rPr>
          <w:rFonts w:ascii="Times New Roman;sans-serif" w:hAnsi="Times New Roman;sans-serif"/>
          <w:b w:val="false"/>
          <w:color w:val="000000"/>
          <w:sz w:val="20"/>
        </w:rPr>
        <w:t>Nasdaq CXC Limited (organized in Canada)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42.</w:t>
      </w:r>
      <w:r>
        <w:rPr>
          <w:rFonts w:ascii="Times New Roman;sans-serif" w:hAnsi="Times New Roman;sans-serif"/>
          <w:b w:val="false"/>
          <w:color w:val="000000"/>
          <w:sz w:val="20"/>
        </w:rPr>
        <w:t>Nasdaq Exchange and Clearing Services AB (organized in Sweden)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43.</w:t>
      </w:r>
      <w:r>
        <w:rPr>
          <w:rFonts w:ascii="Times New Roman;sans-serif" w:hAnsi="Times New Roman;sans-serif"/>
          <w:b w:val="false"/>
          <w:color w:val="000000"/>
          <w:sz w:val="20"/>
        </w:rPr>
        <w:t>Nasdaq Germany GmbH (organized in Germany)</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44.</w:t>
      </w:r>
      <w:r>
        <w:rPr>
          <w:rFonts w:ascii="Times New Roman;sans-serif" w:hAnsi="Times New Roman;sans-serif"/>
          <w:b w:val="false"/>
          <w:color w:val="000000"/>
          <w:sz w:val="20"/>
        </w:rPr>
        <w:t>Nasdaq Helsinki Ltd (organized in Finland)</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45.</w:t>
      </w:r>
      <w:r>
        <w:rPr>
          <w:rFonts w:ascii="Times New Roman;sans-serif" w:hAnsi="Times New Roman;sans-serif"/>
          <w:b w:val="false"/>
          <w:color w:val="000000"/>
          <w:sz w:val="20"/>
        </w:rPr>
        <w:t>Nasdaq Holding AB (organized in Sweden)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46.</w:t>
      </w:r>
      <w:r>
        <w:rPr>
          <w:rFonts w:ascii="Times New Roman;sans-serif" w:hAnsi="Times New Roman;sans-serif"/>
          <w:b w:val="false"/>
          <w:color w:val="000000"/>
          <w:sz w:val="20"/>
        </w:rPr>
        <w:t>Nasdaq Holding Denmark A/S (organized in Denmark)</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47.</w:t>
      </w:r>
      <w:r>
        <w:rPr>
          <w:rFonts w:ascii="Times New Roman;sans-serif" w:hAnsi="Times New Roman;sans-serif"/>
          <w:b w:val="false"/>
          <w:color w:val="000000"/>
          <w:sz w:val="20"/>
        </w:rPr>
        <w:t>Nasdaq Holding Luxembourg Sárl (organized in Luxembourg)</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48.</w:t>
      </w:r>
      <w:r>
        <w:rPr>
          <w:rFonts w:ascii="Times New Roman;sans-serif" w:hAnsi="Times New Roman;sans-serif"/>
          <w:b w:val="false"/>
          <w:color w:val="000000"/>
          <w:sz w:val="20"/>
        </w:rPr>
        <w:t>Nasdaq Iceland hf. (organized in Iceland)</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49.</w:t>
      </w:r>
      <w:r>
        <w:rPr>
          <w:rFonts w:ascii="Times New Roman;sans-serif" w:hAnsi="Times New Roman;sans-serif"/>
          <w:b w:val="false"/>
          <w:color w:val="000000"/>
          <w:sz w:val="20"/>
        </w:rPr>
        <w:t>Nasdaq International Ltd (organized in the United Kingdom)</w:t>
      </w:r>
    </w:p>
    <w:p>
      <w:pPr>
        <w:pStyle w:val="TextBody"/>
        <w:bidi w:val="0"/>
        <w:spacing w:lineRule="auto" w:line="288"/>
        <w:ind w:left="0" w:right="0" w:hanging="360"/>
        <w:jc w:val="left"/>
        <w:rPr/>
      </w:pPr>
      <w:r>
        <w:rPr>
          <w:rFonts w:ascii="Times New Roman;sans-serif" w:hAnsi="Times New Roman;sans-serif"/>
          <w:b w:val="false"/>
          <w:color w:val="000000"/>
          <w:sz w:val="20"/>
        </w:rPr>
        <w:t>50.</w:t>
      </w:r>
      <w:r>
        <w:rPr>
          <w:rFonts w:ascii="Times New Roman;sans-serif" w:hAnsi="Times New Roman;sans-serif"/>
          <w:b w:val="false"/>
          <w:color w:val="000000"/>
          <w:sz w:val="20"/>
        </w:rPr>
        <w:t>NASDAQ Korea Ltd (organized in South Korea)</w:t>
      </w:r>
    </w:p>
    <w:p>
      <w:pPr>
        <w:pStyle w:val="TextBody"/>
        <w:bidi w:val="0"/>
        <w:spacing w:lineRule="auto" w:line="288" w:before="0" w:after="0"/>
        <w:ind w:left="0" w:right="0" w:hanging="72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21.1</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51.</w:t>
      </w:r>
      <w:r>
        <w:rPr>
          <w:rFonts w:ascii="Times New Roman;sans-serif" w:hAnsi="Times New Roman;sans-serif"/>
          <w:b w:val="false"/>
          <w:color w:val="000000"/>
          <w:sz w:val="20"/>
        </w:rPr>
        <w:t>Nasdaq Nordic Ltd (organized in Finland)</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52.</w:t>
      </w:r>
      <w:r>
        <w:rPr>
          <w:rFonts w:ascii="Times New Roman;sans-serif" w:hAnsi="Times New Roman;sans-serif"/>
          <w:b w:val="false"/>
          <w:color w:val="000000"/>
          <w:sz w:val="20"/>
        </w:rPr>
        <w:t>NASDAQ OMX Europe Ltd (organized in the United Kingdom)</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53.</w:t>
      </w:r>
      <w:r>
        <w:rPr>
          <w:rFonts w:ascii="Times New Roman;sans-serif" w:hAnsi="Times New Roman;sans-serif"/>
          <w:b w:val="false"/>
          <w:color w:val="000000"/>
          <w:sz w:val="20"/>
        </w:rPr>
        <w:t>Nasdaq Oslo ASA (organized in Norway)</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54.</w:t>
      </w:r>
      <w:r>
        <w:rPr>
          <w:rFonts w:ascii="Times New Roman;sans-serif" w:hAnsi="Times New Roman;sans-serif"/>
          <w:b w:val="false"/>
          <w:color w:val="000000"/>
          <w:sz w:val="20"/>
        </w:rPr>
        <w:t>Nasdaq Pty Ltd (organized in Australia)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55.</w:t>
      </w:r>
      <w:r>
        <w:rPr>
          <w:rFonts w:ascii="Times New Roman;sans-serif" w:hAnsi="Times New Roman;sans-serif"/>
          <w:b w:val="false"/>
          <w:color w:val="000000"/>
          <w:sz w:val="20"/>
        </w:rPr>
        <w:t>Nasdaq Riga, AS (organized in Latvia) (92.98% owned, directly or indirectly, by Nasdaq, Inc.)</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56.</w:t>
      </w:r>
      <w:r>
        <w:rPr>
          <w:rFonts w:ascii="Times New Roman;sans-serif" w:hAnsi="Times New Roman;sans-serif"/>
          <w:b w:val="false"/>
          <w:color w:val="000000"/>
          <w:sz w:val="20"/>
        </w:rPr>
        <w:t>Nasdaq Stockholm AB (organized in Sweden)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57.</w:t>
      </w:r>
      <w:r>
        <w:rPr>
          <w:rFonts w:ascii="Times New Roman;sans-serif" w:hAnsi="Times New Roman;sans-serif"/>
          <w:b w:val="false"/>
          <w:color w:val="000000"/>
          <w:sz w:val="20"/>
        </w:rPr>
        <w:t>Nasdaq Tallinn AS (organized in Estonia)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58.</w:t>
      </w:r>
      <w:r>
        <w:rPr>
          <w:rFonts w:ascii="Times New Roman;sans-serif" w:hAnsi="Times New Roman;sans-serif"/>
          <w:b w:val="false"/>
          <w:color w:val="000000"/>
          <w:sz w:val="20"/>
        </w:rPr>
        <w:t>Nasdaq Technology (Japan) Ltd (organized in Japan)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59.</w:t>
      </w:r>
      <w:r>
        <w:rPr>
          <w:rFonts w:ascii="Times New Roman;sans-serif" w:hAnsi="Times New Roman;sans-serif"/>
          <w:b w:val="false"/>
          <w:color w:val="000000"/>
          <w:sz w:val="20"/>
        </w:rPr>
        <w:t>Nasdaq Technology AB (organized in Sweden)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60.</w:t>
      </w:r>
      <w:r>
        <w:rPr>
          <w:rFonts w:ascii="Times New Roman;sans-serif" w:hAnsi="Times New Roman;sans-serif"/>
          <w:b w:val="false"/>
          <w:color w:val="000000"/>
          <w:sz w:val="20"/>
        </w:rPr>
        <w:t>Nasdaq Technology Energy Systems AS (organized in Norway)</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61.</w:t>
      </w:r>
      <w:r>
        <w:rPr>
          <w:rFonts w:ascii="Times New Roman;sans-serif" w:hAnsi="Times New Roman;sans-serif"/>
          <w:b w:val="false"/>
          <w:color w:val="000000"/>
          <w:sz w:val="20"/>
        </w:rPr>
        <w:t>Nasdaq Technology Italy Srl (organized in Italy)</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62.</w:t>
      </w:r>
      <w:r>
        <w:rPr>
          <w:rFonts w:ascii="Times New Roman;sans-serif" w:hAnsi="Times New Roman;sans-serif"/>
          <w:b w:val="false"/>
          <w:color w:val="000000"/>
          <w:sz w:val="20"/>
        </w:rPr>
        <w:t>Nasdaq Teknoloji Servisi Limited Sirketi (organized in Turkey)</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63.</w:t>
      </w:r>
      <w:r>
        <w:rPr>
          <w:rFonts w:ascii="Times New Roman;sans-serif" w:hAnsi="Times New Roman;sans-serif"/>
          <w:b w:val="false"/>
          <w:color w:val="000000"/>
          <w:sz w:val="20"/>
        </w:rPr>
        <w:t>Nasdaq Treasury AB (organized in Sweden)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64.</w:t>
      </w:r>
      <w:r>
        <w:rPr>
          <w:rFonts w:ascii="Times New Roman;sans-serif" w:hAnsi="Times New Roman;sans-serif"/>
          <w:b w:val="false"/>
          <w:color w:val="000000"/>
          <w:sz w:val="20"/>
        </w:rPr>
        <w:t>Nasdaq Vilnius Services UAB (organized in Lithuania)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65.</w:t>
      </w:r>
      <w:r>
        <w:rPr>
          <w:rFonts w:ascii="Times New Roman;sans-serif" w:hAnsi="Times New Roman;sans-serif"/>
          <w:b w:val="false"/>
          <w:color w:val="000000"/>
          <w:sz w:val="20"/>
        </w:rPr>
        <w:t>OMX Treasury Euro AB (organized in Sweden) (99.9% owned, directly or indirectly, by Nasdaq, Inc.)</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66.</w:t>
      </w:r>
      <w:r>
        <w:rPr>
          <w:rFonts w:ascii="Times New Roman;sans-serif" w:hAnsi="Times New Roman;sans-serif"/>
          <w:b w:val="false"/>
          <w:color w:val="000000"/>
          <w:sz w:val="20"/>
        </w:rPr>
        <w:t>OMX Treasury Euro Holding AB (organized in Sweden)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67.</w:t>
      </w:r>
      <w:r>
        <w:rPr>
          <w:rFonts w:ascii="Times New Roman;sans-serif" w:hAnsi="Times New Roman;sans-serif"/>
          <w:b w:val="false"/>
          <w:color w:val="000000"/>
          <w:sz w:val="20"/>
        </w:rPr>
        <w:t>Puro.earth (organized in Finland) (70% owned, directly or indirectly, by Nasdaq, Inc.)</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68.</w:t>
      </w:r>
      <w:r>
        <w:rPr>
          <w:rFonts w:ascii="Times New Roman;sans-serif" w:hAnsi="Times New Roman;sans-serif"/>
          <w:b w:val="false"/>
          <w:color w:val="000000"/>
          <w:sz w:val="20"/>
        </w:rPr>
        <w:t>Quandl, Inc. (organized in Canada, Federal)</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69.</w:t>
      </w:r>
      <w:r>
        <w:rPr>
          <w:rFonts w:ascii="Times New Roman;sans-serif" w:hAnsi="Times New Roman;sans-serif"/>
          <w:b w:val="false"/>
          <w:color w:val="000000"/>
          <w:sz w:val="20"/>
        </w:rPr>
        <w:t>RF Nordic Express AB (organized in Sweden) (50.1% owned, directly or indirectly, by Nasdaq, Inc.)</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70.</w:t>
      </w:r>
      <w:r>
        <w:rPr>
          <w:rFonts w:ascii="Times New Roman;sans-serif" w:hAnsi="Times New Roman;sans-serif"/>
          <w:b w:val="false"/>
          <w:color w:val="000000"/>
          <w:sz w:val="20"/>
        </w:rPr>
        <w:t>Shareholder.com B.V. (organized in the Netherlands)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71.</w:t>
      </w:r>
      <w:r>
        <w:rPr>
          <w:rFonts w:ascii="Times New Roman;sans-serif" w:hAnsi="Times New Roman;sans-serif"/>
          <w:b w:val="false"/>
          <w:color w:val="000000"/>
          <w:sz w:val="20"/>
        </w:rPr>
        <w:t>Simplitium Ltd (organized in the United Kingdom)</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72.</w:t>
      </w:r>
      <w:r>
        <w:rPr>
          <w:rFonts w:ascii="Times New Roman;sans-serif" w:hAnsi="Times New Roman;sans-serif"/>
          <w:b w:val="false"/>
          <w:color w:val="000000"/>
          <w:sz w:val="20"/>
        </w:rPr>
        <w:t>SMARTS Broker Compliance Pty Ltd (organized in Australia)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73.</w:t>
      </w:r>
      <w:r>
        <w:rPr>
          <w:rFonts w:ascii="Times New Roman;sans-serif" w:hAnsi="Times New Roman;sans-serif"/>
          <w:b w:val="false"/>
          <w:color w:val="000000"/>
          <w:sz w:val="20"/>
        </w:rPr>
        <w:t>SMARTS Market Surveillance Pty Ltd (organized in Australia)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74.</w:t>
      </w:r>
      <w:r>
        <w:rPr>
          <w:rFonts w:ascii="Times New Roman;sans-serif" w:hAnsi="Times New Roman;sans-serif"/>
          <w:b w:val="false"/>
          <w:color w:val="000000"/>
          <w:sz w:val="20"/>
        </w:rPr>
        <w:t>Sybenetix Limited (organized in the United Kingdom)</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75.</w:t>
      </w:r>
      <w:r>
        <w:rPr>
          <w:rFonts w:ascii="Times New Roman;sans-serif" w:hAnsi="Times New Roman;sans-serif"/>
          <w:b w:val="false"/>
          <w:color w:val="000000"/>
          <w:sz w:val="20"/>
        </w:rPr>
        <w:t>Sybenetix Ukraine (organized in the Ukraine)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76.</w:t>
      </w:r>
      <w:r>
        <w:rPr>
          <w:rFonts w:ascii="Times New Roman;sans-serif" w:hAnsi="Times New Roman;sans-serif"/>
          <w:b w:val="false"/>
          <w:color w:val="000000"/>
          <w:sz w:val="20"/>
        </w:rPr>
        <w:t>TOV AxiomSL (organized in the Ukraine)</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77.</w:t>
      </w:r>
      <w:r>
        <w:rPr>
          <w:rFonts w:ascii="Times New Roman;sans-serif" w:hAnsi="Times New Roman;sans-serif"/>
          <w:b w:val="false"/>
          <w:color w:val="000000"/>
          <w:sz w:val="20"/>
        </w:rPr>
        <w:t>Verafin Solutions ULC (organized in Canada)</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78.</w:t>
      </w:r>
      <w:r>
        <w:rPr>
          <w:rFonts w:ascii="Times New Roman;sans-serif" w:hAnsi="Times New Roman;sans-serif"/>
          <w:b w:val="false"/>
          <w:color w:val="000000"/>
          <w:sz w:val="20"/>
        </w:rPr>
        <w:t>Whittaker &amp; Garnier Limited (organized in the United Kingdom)</w:t>
      </w:r>
    </w:p>
    <w:p>
      <w:pPr>
        <w:pStyle w:val="TextBody"/>
        <w:bidi w:val="0"/>
        <w:spacing w:before="0" w:after="0"/>
        <w:jc w:val="left"/>
        <w:rPr/>
      </w:pPr>
      <w:r>
        <w:rPr/>
      </w:r>
    </w:p>
    <w:p>
      <w:pPr>
        <w:pStyle w:val="TextBody"/>
        <w:bidi w:val="0"/>
        <w:spacing w:lineRule="auto" w:line="288"/>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The list of subsidiaries does not include not-for-profit entities or foreign branches of subsidiaries, or entities in which Nasdaq owns less than 50% of the entity.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23.1</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6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lineRule="auto" w:line="300"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 the following Registration Statements:           </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(1)Registration Statement (Form S-3 No. 333-279011)     of Nasdaq, Inc.,</w:t>
      </w:r>
    </w:p>
    <w:p>
      <w:pPr>
        <w:pStyle w:val="TextBody"/>
        <w:bidi w:val="0"/>
        <w:spacing w:lineRule="auto" w:line="288" w:before="18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(2)Registration Statement (Form S-8 No. 333-239891) pertaining to Nasdaq, Inc. Employee Stock Purchase Plan, </w:t>
      </w:r>
    </w:p>
    <w:p>
      <w:pPr>
        <w:pStyle w:val="TextBody"/>
        <w:bidi w:val="0"/>
        <w:spacing w:lineRule="auto" w:line="288" w:before="18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(3)Registration Statement (Form S-8 No. 333-225218) pertaining to Nasdaq, Inc. Equity Incentive Plan, </w:t>
      </w:r>
    </w:p>
    <w:p>
      <w:pPr>
        <w:pStyle w:val="TextBody"/>
        <w:bidi w:val="0"/>
        <w:spacing w:lineRule="auto" w:line="288" w:before="18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(4)Registration Statement (Form S-8 No. 333-196838) pertaining to Nasdaq, Inc. (f/k/a The NASDAQ OMX Group, Inc.) Equity Incentive Plan, </w:t>
      </w:r>
    </w:p>
    <w:p>
      <w:pPr>
        <w:pStyle w:val="TextBody"/>
        <w:bidi w:val="0"/>
        <w:spacing w:lineRule="auto" w:line="288" w:before="18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(5)Registration Statement (Form S-8 No. 333-167724) pertaining to Nasdaq, Inc. (f/k/a The NASDAQ OMX Group, Inc.) Employee Stock Purchase Plan,</w:t>
      </w:r>
    </w:p>
    <w:p>
      <w:pPr>
        <w:pStyle w:val="TextBody"/>
        <w:bidi w:val="0"/>
        <w:spacing w:lineRule="auto" w:line="288" w:before="18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(6)Registration Statement (Form S-8 No. 333-167723) pertaining to Nasdaq, Inc. (f/k/a The NASDAQ OMX Group, Inc.) Equity Incentive Plan,</w:t>
      </w:r>
    </w:p>
    <w:p>
      <w:pPr>
        <w:pStyle w:val="TextBody"/>
        <w:bidi w:val="0"/>
        <w:spacing w:lineRule="auto" w:line="288" w:before="18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(7)Registration Statement (Form S-8 No. 333-110602) pertaining to The Nasdaq Stock Market, Inc. Equity Incentive Plan,</w:t>
      </w:r>
    </w:p>
    <w:p>
      <w:pPr>
        <w:pStyle w:val="TextBody"/>
        <w:bidi w:val="0"/>
        <w:spacing w:lineRule="auto" w:line="288" w:before="18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(8)Registration Statement (Form S-8 No. 333-106945) pertaining to the Employment Agreement with Robert Greifeld of The Nasdaq Stock Market, Inc., </w:t>
      </w:r>
    </w:p>
    <w:p>
      <w:pPr>
        <w:pStyle w:val="TextBody"/>
        <w:bidi w:val="0"/>
        <w:spacing w:lineRule="auto" w:line="288" w:before="18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(9)Registration Statement (Form S-8 No. 333-76064) pertaining to The Nasdaq Stock Market, Inc. 2000 Employee Stock Purchase Plan, </w:t>
      </w:r>
    </w:p>
    <w:p>
      <w:pPr>
        <w:pStyle w:val="TextBody"/>
        <w:bidi w:val="0"/>
        <w:spacing w:lineRule="auto" w:line="288" w:before="18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(10)Registration Statement (Form S-8 No. 333-72852) pertaining to The Nasdaq Stock Market, Inc. 2000 Employee Stock Purchase Plan,</w:t>
      </w:r>
    </w:p>
    <w:p>
      <w:pPr>
        <w:pStyle w:val="TextBody"/>
        <w:bidi w:val="0"/>
        <w:spacing w:lineRule="auto" w:line="288" w:before="18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(11)Registration Statement (Form S-8 No. 333-70992) pertaining to The Nasdaq Stock Market, Inc. Equity Incentive Plan, and</w:t>
      </w:r>
    </w:p>
    <w:p>
      <w:pPr>
        <w:pStyle w:val="TextBody"/>
        <w:bidi w:val="0"/>
        <w:spacing w:lineRule="auto" w:line="288" w:before="18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(12)Registration Statement (Form S-8 No. 333-265824) pertaining to The Nasdaq, Inc. Deferred Compensation Plan,</w:t>
      </w:r>
    </w:p>
    <w:p>
      <w:pPr>
        <w:pStyle w:val="TextBody"/>
        <w:bidi w:val="0"/>
        <w:spacing w:lineRule="auto" w:line="300" w:before="180" w:after="160"/>
        <w:jc w:val="both"/>
        <w:rPr>
          <w:rFonts w:ascii="Times New Roman;sans-serif" w:hAnsi="Times New Roman;sans-serif"/>
          <w:b w:val="false"/>
          <w:color w:val="000000"/>
          <w:sz w:val="24"/>
        </w:rPr>
      </w:pPr>
      <w:r>
        <w:rPr>
          <w:rFonts w:ascii="Times New Roman;sans-serif" w:hAnsi="Times New Roman;sans-serif"/>
          <w:b w:val="false"/>
          <w:color w:val="000000"/>
          <w:sz w:val="24"/>
        </w:rPr>
        <w:t>of our reports dated February 20, 2025, with respect to the consolidated financial statements of Nasdaq, Inc. and the effectiveness of internal control over financial reporting of Nasdaq, Inc. included in this Annual Report (Form 10-K) of Nasdaq, Inc. for the year ended December 31, 2024.</w:t>
      </w:r>
    </w:p>
    <w:p>
      <w:pPr>
        <w:pStyle w:val="TextBody"/>
        <w:bidi w:val="0"/>
        <w:spacing w:before="0" w:after="160"/>
        <w:jc w:val="left"/>
        <w:rPr/>
      </w:pPr>
      <w:r>
        <w:rPr/>
      </w:r>
    </w:p>
    <w:p>
      <w:pPr>
        <w:pStyle w:val="TextBody"/>
        <w:bidi w:val="0"/>
        <w:spacing w:lineRule="auto" w:line="268" w:before="0" w:after="0"/>
        <w:ind w:left="0" w:right="0" w:hanging="245"/>
        <w:jc w:val="right"/>
        <w:rPr>
          <w:rFonts w:ascii="Times New Roman;sans-serif" w:hAnsi="Times New Roman;sans-serif"/>
          <w:b w:val="false"/>
          <w:i/>
          <w:color w:val="000000"/>
          <w:sz w:val="24"/>
        </w:rPr>
      </w:pPr>
      <w:r>
        <w:rPr>
          <w:rFonts w:ascii="Times New Roman;sans-serif" w:hAnsi="Times New Roman;sans-serif"/>
          <w:b w:val="false"/>
          <w:i/>
          <w:color w:val="000000"/>
          <w:sz w:val="24"/>
        </w:rPr>
        <w:t>/s/ Ernst &amp; Young LLP</w:t>
      </w:r>
    </w:p>
    <w:p>
      <w:pPr>
        <w:pStyle w:val="TextBody"/>
        <w:bidi w:val="0"/>
        <w:spacing w:lineRule="auto" w:line="288" w:before="0" w:after="0"/>
        <w:ind w:left="0" w:right="0" w:hanging="245"/>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w:t>
      </w:r>
    </w:p>
    <w:p>
      <w:pPr>
        <w:pStyle w:val="TextBody"/>
        <w:bidi w:val="0"/>
        <w:spacing w:lineRule="auto" w:line="288" w:before="0" w:after="0"/>
        <w:ind w:left="0" w:right="0" w:hanging="245"/>
        <w:jc w:val="left"/>
        <w:rPr>
          <w:rFonts w:ascii="Times New Roman;sans-serif" w:hAnsi="Times New Roman;sans-serif"/>
          <w:b w:val="false"/>
          <w:color w:val="000000"/>
          <w:sz w:val="24"/>
        </w:rPr>
      </w:pPr>
      <w:r>
        <w:rPr>
          <w:rFonts w:ascii="Times New Roman;sans-serif" w:hAnsi="Times New Roman;sans-serif"/>
          <w:b w:val="false"/>
          <w:color w:val="000000"/>
          <w:sz w:val="24"/>
        </w:rPr>
        <w:t>February 21, 2025</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2024,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/s/ Melissa M. Arnoldi</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2024,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/s/ Charlene T. Begley</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2024,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/s/ Essa Kazim</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2024,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/s/ Thomas A. Kloet</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2024,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/s/ Kathryn A. Koch</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2024,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/s/ Holden Spaht</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2024,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/s/ Michael R. Splinter</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2024,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2025.</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/s/ Johan Torgeby</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2024,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2025.</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/s/ Toni Townes-Whitley</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2024,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2025.</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/s/ Jeffery W. Yabuki</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2024,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2025.</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/s/ Alfred W. Zollar</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Adena T. Friedman, certify that:</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Nasdaq, Inc.;</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4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623"/>
        <w:gridCol w:w="623"/>
        <w:gridCol w:w="8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Adena T. Friedman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Adena T. Friedman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21,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Sarah Youngwood, certify that:</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Nasdaq, Inc.;</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0"/>
        <w:jc w:val="left"/>
        <w:rPr>
          <w:color w:val="000000"/>
        </w:rPr>
      </w:pPr>
      <w:r>
        <w:rPr>
          <w:color w:val="000000"/>
        </w:rPr>
        <w:t> </w:t>
      </w:r>
    </w:p>
    <w:tbl>
      <w:tblPr>
        <w:tblW w:w="57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1298"/>
        <w:gridCol w:w="1298"/>
        <w:gridCol w:w="18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/s/ Sarah Youngwood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Sarah Youngwood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21,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CEO and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Nasdaq, Inc. (the “Company”) for the period ended December 31, 2024 as filed with the Securities and Exchange Commission on the date hereof (the “Report”), Adena T. Friedman, as Chief Executive Officer of the Company, and Sarah Youngwood, as Executive Vice President and Chief Financial Officer of the Company, each hereby certifies, pursuant to 18 U.S.C. § 1350, as adopted pursuant to § 906 of the Sarbanes-Oxley Act of 2002, that, to the best of her knowledge:</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the operations of the Company.</w:t>
      </w:r>
    </w:p>
    <w:p>
      <w:pPr>
        <w:pStyle w:val="TextBody"/>
        <w:bidi w:val="0"/>
        <w:spacing w:lineRule="auto" w:line="288" w:before="0" w:after="0"/>
        <w:jc w:val="left"/>
        <w:rPr>
          <w:color w:val="000000"/>
        </w:rPr>
      </w:pPr>
      <w:r>
        <w:rPr>
          <w:color w:val="000000"/>
        </w:rPr>
        <w:t> </w:t>
      </w:r>
    </w:p>
    <w:tbl>
      <w:tblPr>
        <w:tblW w:w="573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1297"/>
        <w:gridCol w:w="1297"/>
        <w:gridCol w:w="18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Adena T. Friedman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Adena T. Friedman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Sarah Youngwood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Sarah Youngwood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2025</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Wingdings">
    <w:altName w:val="sans-serif"/>
    <w:charset w:val="02"/>
    <w:family w:val="auto"/>
    <w:pitch w:val="default"/>
  </w:font>
  <w:font w:name="Calibri Light">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www.sec.gov/Archives/edgar/data/1120193/000112019321000011/ndaq12312020ex-22.htm" TargetMode="External"/><Relationship Id="rId12" Type="http://schemas.openxmlformats.org/officeDocument/2006/relationships/hyperlink" Target="http://www.sec.gov/Archives/edgar/data/1120193/000112019321000011/ndaq12312020ex-23.htm" TargetMode="External"/><Relationship Id="rId13" Type="http://schemas.openxmlformats.org/officeDocument/2006/relationships/hyperlink" Target="http://www.sec.gov/Archives/edgar/data/1120193/000119312523164839/d476077dex21.htm" TargetMode="External"/><Relationship Id="rId14" Type="http://schemas.openxmlformats.org/officeDocument/2006/relationships/hyperlink" Target="http://www.sec.gov/Archives/edgar/data/1120193/000119312514024495/d665170dex31.htm" TargetMode="External"/><Relationship Id="rId15" Type="http://schemas.openxmlformats.org/officeDocument/2006/relationships/hyperlink" Target="http://www.sec.gov/Archives/edgar/data/1120193/000119312514024495/d665170dex311.htm" TargetMode="External"/><Relationship Id="rId16" Type="http://schemas.openxmlformats.org/officeDocument/2006/relationships/hyperlink" Target="http://www.sec.gov/Archives/edgar/data/1120193/000119312514418471/d823798dex31.htm" TargetMode="External"/><Relationship Id="rId17" Type="http://schemas.openxmlformats.org/officeDocument/2006/relationships/hyperlink" Target="http://www.sec.gov/Archives/edgar/data/1120193/000119312515314459/d48431dex31.htm" TargetMode="External"/><Relationship Id="rId18" Type="http://schemas.openxmlformats.org/officeDocument/2006/relationships/hyperlink" Target="http://www.sec.gov/Archives/edgar/data/1120193/000119312522197571/d346485dex31.htm" TargetMode="External"/><Relationship Id="rId19" Type="http://schemas.openxmlformats.org/officeDocument/2006/relationships/hyperlink" Target="http://www.sec.gov/Archives/edgar/data/1120193/000119312516773816/d294194dex32.htm" TargetMode="External"/><Relationship Id="rId20" Type="http://schemas.openxmlformats.org/officeDocument/2006/relationships/hyperlink" Target="http://www.sec.gov/Archives/edgar/data/1120193/000112019315000018/ndaq-20150930xex4.htm" TargetMode="External"/><Relationship Id="rId21" Type="http://schemas.openxmlformats.org/officeDocument/2006/relationships/hyperlink" Target="http://www.sec.gov/Archives/edgar/data/1120193/000119312508045251/dex102.htm" TargetMode="External"/><Relationship Id="rId22" Type="http://schemas.openxmlformats.org/officeDocument/2006/relationships/hyperlink" Target="http://www.sec.gov/Archives/edgar/data/1120193/000119312509039333/dex4101.htm" TargetMode="External"/><Relationship Id="rId23" Type="http://schemas.openxmlformats.org/officeDocument/2006/relationships/hyperlink" Target="http://www.sec.gov/Archives/edgar/data/1120193/000119312509039333/dex4101.htm" TargetMode="External"/><Relationship Id="rId24" Type="http://schemas.openxmlformats.org/officeDocument/2006/relationships/hyperlink" Target="http://www.sec.gov/Archives/edgar/data/1120193/000119312524072138/d812900dex41.htm" TargetMode="External"/><Relationship Id="rId25" Type="http://schemas.openxmlformats.org/officeDocument/2006/relationships/hyperlink" Target="http://www.sec.gov/Archives/edgar/data/1120193/000119312508045251/dex103.htm" TargetMode="External"/><Relationship Id="rId26" Type="http://schemas.openxmlformats.org/officeDocument/2006/relationships/hyperlink" Target="http://www.sec.gov/Archives/edgar/data/1120193/000119312509039333/dex4111.htm" TargetMode="External"/><Relationship Id="rId27" Type="http://schemas.openxmlformats.org/officeDocument/2006/relationships/hyperlink" Target="http://www.sec.gov/Archives/edgar/data/1120193/000119312511045348/dex412.htm" TargetMode="External"/><Relationship Id="rId28" Type="http://schemas.openxmlformats.org/officeDocument/2006/relationships/hyperlink" Target="http://www.sec.gov/Archives/edgar/data/1120193/000119312522307314/d423787dex41.htm" TargetMode="External"/><Relationship Id="rId29" Type="http://schemas.openxmlformats.org/officeDocument/2006/relationships/hyperlink" Target="http://www.sec.gov/Archives/edgar/data/1120193/000119312523270374/d655352dex41.htm" TargetMode="External"/><Relationship Id="rId30" Type="http://schemas.openxmlformats.org/officeDocument/2006/relationships/hyperlink" Target="http://www.sec.gov/Archives/edgar/data/1120193/000119312523270374/d655352dex42.htm" TargetMode="External"/><Relationship Id="rId31" Type="http://schemas.openxmlformats.org/officeDocument/2006/relationships/hyperlink" Target="http://www.sec.gov/Archives/edgar/data/1120193/000119312513253519/d551100dex41.htm" TargetMode="External"/><Relationship Id="rId32" Type="http://schemas.openxmlformats.org/officeDocument/2006/relationships/hyperlink" Target="http://www.sec.gov/Archives/edgar/data/1120193/000119312516615297/d167131dex41.htm" TargetMode="External"/><Relationship Id="rId33" Type="http://schemas.openxmlformats.org/officeDocument/2006/relationships/hyperlink" Target="http://www.sec.gov/Archives/edgar/data/1120193/000119312519094591/d724290dex42.htm" TargetMode="External"/><Relationship Id="rId34" Type="http://schemas.openxmlformats.org/officeDocument/2006/relationships/hyperlink" Target="http://www.sec.gov/Archives/edgar/data/1120193/000119312520035607/d888173dex42.htm" TargetMode="External"/><Relationship Id="rId35" Type="http://schemas.openxmlformats.org/officeDocument/2006/relationships/hyperlink" Target="http://www.sec.gov/Archives/edgar/data/1120193/000119312520123181/d836687dex42.htm" TargetMode="External"/><Relationship Id="rId36" Type="http://schemas.openxmlformats.org/officeDocument/2006/relationships/hyperlink" Target="http://www.sec.gov/Archives/edgar/data/1120193/000119312520323198/d30071dex43.htm" TargetMode="External"/><Relationship Id="rId37" Type="http://schemas.openxmlformats.org/officeDocument/2006/relationships/hyperlink" Target="http://www.sec.gov/Archives/edgar/data/1120193/000119312520323198/d30071dex44.htm" TargetMode="External"/><Relationship Id="rId38" Type="http://schemas.openxmlformats.org/officeDocument/2006/relationships/hyperlink" Target="http://www.sec.gov/Archives/edgar/data/1120193/000119312521230350/d177716dex42.htm" TargetMode="External"/><Relationship Id="rId39" Type="http://schemas.openxmlformats.org/officeDocument/2006/relationships/hyperlink" Target="http://www.sec.gov/Archives/edgar/data/1120193/000119312522068029/d324996dex42.htm" TargetMode="External"/><Relationship Id="rId40" Type="http://schemas.openxmlformats.org/officeDocument/2006/relationships/hyperlink" Target="http://www.sec.gov/Archives/edgar/data/1120193/000119312523177619/d494014dex42.htm" TargetMode="External"/><Relationship Id="rId41" Type="http://schemas.openxmlformats.org/officeDocument/2006/relationships/hyperlink" Target="http://www.sec.gov/Archives/edgar/data/1120193/000119312523177619/d494014dex43.htm" TargetMode="External"/><Relationship Id="rId42" Type="http://schemas.openxmlformats.org/officeDocument/2006/relationships/hyperlink" Target="http://www.sec.gov/Archives/edgar/data/1120193/000119312523177619/d494014dex44.htm" TargetMode="External"/><Relationship Id="rId43" Type="http://schemas.openxmlformats.org/officeDocument/2006/relationships/hyperlink" Target="http://www.sec.gov/Archives/edgar/data/1120193/000119312523177619/d494014dex45.htm" TargetMode="External"/><Relationship Id="rId44" Type="http://schemas.openxmlformats.org/officeDocument/2006/relationships/hyperlink" Target="http://www.sec.gov/Archives/edgar/data/1120193/000119312523177619/d494014dex46.htm" TargetMode="External"/><Relationship Id="rId45" Type="http://schemas.openxmlformats.org/officeDocument/2006/relationships/hyperlink" Target="http://www.sec.gov/Archives/edgar/data/1120193/000119312523177619/d494014dex47.htm" TargetMode="External"/><Relationship Id="rId46" Type="http://schemas.openxmlformats.org/officeDocument/2006/relationships/hyperlink" Target="http://www.sec.gov/Archives/edgar/data/1120193/000112019324000006/ndaq12312023ex-421.htm" TargetMode="External"/><Relationship Id="rId47" Type="http://schemas.openxmlformats.org/officeDocument/2006/relationships/hyperlink" Target="http://www.sec.gov/Archives/edgar/data/1120193/000112019323000022/ndaq6302023ex-101.htm" TargetMode="External"/><Relationship Id="rId48" Type="http://schemas.openxmlformats.org/officeDocument/2006/relationships/hyperlink" Target="http://www.sec.gov/Archives/edgar/data/1120193/000119312515181962/d922883dex101.htm" TargetMode="External"/><Relationship Id="rId49" Type="http://schemas.openxmlformats.org/officeDocument/2006/relationships/hyperlink" Target="http://www.sec.gov/Archives/edgar/data/1120193/000119312518175257/d583425dex101.htm" TargetMode="External"/><Relationship Id="rId50" Type="http://schemas.openxmlformats.org/officeDocument/2006/relationships/hyperlink" Target="http://www.sec.gov/Archives/edgar/data/1120193/000119312511045348/dex103.htm" TargetMode="External"/><Relationship Id="rId51" Type="http://schemas.openxmlformats.org/officeDocument/2006/relationships/hyperlink" Target="http://www.sec.gov/Archives/edgar/data/1120193/000112019324000014/ndaq6302024ex-101.htm" TargetMode="External"/><Relationship Id="rId52" Type="http://schemas.openxmlformats.org/officeDocument/2006/relationships/hyperlink" Target="http://www.sec.gov/Archives/edgar/data/1120193/000112019324000014/ndaq6302024ex-102.htm" TargetMode="External"/><Relationship Id="rId53" Type="http://schemas.openxmlformats.org/officeDocument/2006/relationships/hyperlink" Target="http://www.sec.gov/Archives/edgar/data/1120193/000112019324000014/ndaq6302024ex-103.htm" TargetMode="External"/><Relationship Id="rId54" Type="http://schemas.openxmlformats.org/officeDocument/2006/relationships/hyperlink" Target="http://www.sec.gov/Archives/edgar/data/1120193/000112019324000014/ndaq6302024ex-104.htm" TargetMode="External"/><Relationship Id="rId55" Type="http://schemas.openxmlformats.org/officeDocument/2006/relationships/hyperlink" Target="http://www.sec.gov/Archives/edgar/data/1120193/000112019324000014/ndaq6302024ex-104.htm" TargetMode="External"/><Relationship Id="rId56" Type="http://schemas.openxmlformats.org/officeDocument/2006/relationships/hyperlink" Target="http://www.sec.gov/Archives/edgar/data/1120193/000112019322000007/ndaq12312021ex-109.htm" TargetMode="External"/><Relationship Id="rId57" Type="http://schemas.openxmlformats.org/officeDocument/2006/relationships/hyperlink" Target="http://www.sec.gov/Archives/edgar/data/1120193/000119312509039333/dex106.htm" TargetMode="External"/><Relationship Id="rId58" Type="http://schemas.openxmlformats.org/officeDocument/2006/relationships/hyperlink" Target="http://www.sec.gov/Archives/edgar/data/1120193/000119312509039333/dex1061.htm" TargetMode="External"/><Relationship Id="rId59" Type="http://schemas.openxmlformats.org/officeDocument/2006/relationships/hyperlink" Target="http://www.sec.gov/Archives/edgar/data/1120193/000119312509039333/dex107.htm" TargetMode="External"/><Relationship Id="rId60" Type="http://schemas.openxmlformats.org/officeDocument/2006/relationships/hyperlink" Target="http://www.sec.gov/Archives/edgar/data/1120193/000119312522175506/d332409dex101.htm" TargetMode="External"/><Relationship Id="rId61" Type="http://schemas.openxmlformats.org/officeDocument/2006/relationships/hyperlink" Target="http://www.sec.gov/Archives/edgar/data/1120193/000112019317000014/ndaq9302017ex-101.htm" TargetMode="External"/><Relationship Id="rId62" Type="http://schemas.openxmlformats.org/officeDocument/2006/relationships/hyperlink" Target="http://www.sec.gov/Archives/edgar/data/1120193/000112019322000007/ndaq12312021ex-1014.htm" TargetMode="External"/><Relationship Id="rId63" Type="http://schemas.openxmlformats.org/officeDocument/2006/relationships/hyperlink" Target="http://www.sec.gov/Archives/edgar/data/1120193/000112019322000007/ndaq12312021ex-1015.htm" TargetMode="External"/><Relationship Id="rId64" Type="http://schemas.openxmlformats.org/officeDocument/2006/relationships/hyperlink" Target="http://www.sec.gov/Archives/edgar/data/1120193/000112019322000017/ndaq6302022ex-105.htm" TargetMode="External"/><Relationship Id="rId65" Type="http://schemas.openxmlformats.org/officeDocument/2006/relationships/hyperlink" Target="http://www.sec.gov/Archives/edgar/data/1120193/000119312521148175/d125560dex101.htm" TargetMode="External"/><Relationship Id="rId66" Type="http://schemas.openxmlformats.org/officeDocument/2006/relationships/hyperlink" Target="http://www.sec.gov/Archives/edgar/data/1120193/000112019323000031/ndaq9302023ex-101.htm" TargetMode="External"/><Relationship Id="rId67" Type="http://schemas.openxmlformats.org/officeDocument/2006/relationships/hyperlink" Target="http://www.sec.gov/Archives/edgar/data/1120193/000112019323000031/ndaq9302023ex-102.htm" TargetMode="External"/><Relationship Id="rId68" Type="http://schemas.openxmlformats.org/officeDocument/2006/relationships/hyperlink" Target="http://www.sec.gov/Archives/edgar/data/1120193/000112019323000014/ndaq12312022ex-1019.htm" TargetMode="External"/><Relationship Id="rId69" Type="http://schemas.openxmlformats.org/officeDocument/2006/relationships/hyperlink" Target="http://www.sec.gov/Archives/edgar/data/1120193/000119312522307319/d428469dex101.htm" TargetMode="External"/><Relationship Id="rId70" Type="http://schemas.openxmlformats.org/officeDocument/2006/relationships/hyperlink" Target="http://www.sec.gov/Archives/edgar/data/1120193/000112019323000017/ndaq3312023ex-101.htm" TargetMode="External"/><Relationship Id="rId71" Type="http://schemas.openxmlformats.org/officeDocument/2006/relationships/hyperlink" Target="http://www.sec.gov/Archives/edgar/data/1120193/000119312523169697/d520835dex101.htm" TargetMode="External"/><Relationship Id="rId72" Type="http://schemas.openxmlformats.org/officeDocument/2006/relationships/hyperlink" Target="http://www.sec.gov/Archives/edgar/data/1120193/000112019324000019/ndaq9302024ex-101.htm" TargetMode="External"/><Relationship Id="rId73" Type="http://schemas.openxmlformats.org/officeDocument/2006/relationships/hyperlink" Target="http://www.sec.gov/Archives/edgar/data/1120193/000112019324000019/ndaq9302024ex-101.htm" TargetMode="External"/><Relationship Id="rId74" Type="http://schemas.openxmlformats.org/officeDocument/2006/relationships/hyperlink" Target="http://www.sec.gov/Archives/edgar/data/1120193/000112019324000019/ndaq9302024ex-101.htm" TargetMode="External"/><Relationship Id="rId75" Type="http://schemas.openxmlformats.org/officeDocument/2006/relationships/hyperlink" Target="http://www.sec.gov/Archives/edgar/data/1120193/000119312523177619/d494014dex101.htm" TargetMode="External"/><Relationship Id="rId76" Type="http://schemas.openxmlformats.org/officeDocument/2006/relationships/hyperlink" Target="http://www.sec.gov/Archives/edgar/data/1120193/000119312517137842/d382987dex103.htm" TargetMode="External"/><Relationship Id="rId77" Type="http://schemas.openxmlformats.org/officeDocument/2006/relationships/hyperlink" Target="http://www.sec.gov/Archives/edgar/data/1120193/000112019323000014/ndaq12312022ex-1024.htm" TargetMode="External"/><Relationship Id="rId78" Type="http://schemas.openxmlformats.org/officeDocument/2006/relationships/hyperlink" Target="http://www.sec.gov/Archives/edgar/data/1120193/000112019323000014/ndaq12312022ex-1025.htm" TargetMode="External"/><Relationship Id="rId79" Type="http://schemas.openxmlformats.org/officeDocument/2006/relationships/hyperlink" Target="http://www.sec.gov/ix?doc=/Archives/edgar/data/0001120193/000112019324000006/ndaq-20231231.htm" TargetMode="External"/><Relationship Id="rId80" Type="http://schemas.openxmlformats.org/officeDocument/2006/relationships/fontTable" Target="fontTable.xml"/><Relationship Id="rId8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170</Pages>
  <Words>155793</Words>
  <Characters>851088</Characters>
  <CharactersWithSpaces>1004175</CharactersWithSpaces>
  <Paragraphs>7791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