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Bradley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CIO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95.55</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122,293</w:t>
            </w:r>
            <w:r>
              <w:rPr>
                <w:rFonts w:ascii="Times;serif" w:hAnsi="Times;serif"/>
                <w:color w:val="008000"/>
                <w:position w:val="7"/>
                <w:sz w:val="16"/>
                <w:sz w:val="20"/>
                <w:shd w:fill="FFFFFF" w:val="clear"/>
              </w:rPr>
              <w:t>(1)</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(i) 64,377 shares or units of restricted stock, 38,372 of which are vested, (ii) 52,618 shares of Common Stock underlying PSUs, 42,986 of which are vested, and (iii) 5,298 shares of 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8592"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3296</Characters>
  <CharactersWithSpaces>3841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